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AE4" w:rsidRPr="0099345C" w:rsidRDefault="00310429" w:rsidP="0099345C">
      <w:pPr>
        <w:tabs>
          <w:tab w:val="left" w:pos="3544"/>
        </w:tabs>
        <w:jc w:val="both"/>
        <w:rPr>
          <w:rFonts w:ascii="Arial" w:hAnsi="Arial" w:cs="Arial"/>
          <w:sz w:val="22"/>
          <w:szCs w:val="22"/>
          <w:lang w:val="fr-FR"/>
        </w:rPr>
      </w:pPr>
      <w:bookmarkStart w:id="0" w:name="_GoBack"/>
      <w:bookmarkEnd w:id="0"/>
      <w:r w:rsidRPr="0099345C">
        <w:rPr>
          <w:rFonts w:ascii="Arial" w:hAnsi="Arial" w:cs="Arial"/>
          <w:b/>
          <w:bCs/>
          <w:sz w:val="22"/>
          <w:szCs w:val="22"/>
          <w:lang w:val="fr-FR"/>
        </w:rPr>
        <w:t xml:space="preserve">Projet de loi </w:t>
      </w:r>
      <w:r w:rsidR="0099345C" w:rsidRPr="0099345C">
        <w:rPr>
          <w:rFonts w:ascii="Arial" w:hAnsi="Arial" w:cs="Arial"/>
          <w:b/>
          <w:noProof/>
          <w:sz w:val="22"/>
          <w:szCs w:val="22"/>
          <w:lang w:val="fr-FR"/>
        </w:rPr>
        <w:t>6668</w:t>
      </w:r>
      <w:r w:rsidR="0099345C">
        <w:rPr>
          <w:rFonts w:ascii="Arial" w:hAnsi="Arial" w:cs="Arial"/>
          <w:b/>
          <w:noProof/>
          <w:sz w:val="22"/>
          <w:szCs w:val="22"/>
          <w:lang w:val="fr-FR"/>
        </w:rPr>
        <w:t xml:space="preserve"> </w:t>
      </w:r>
      <w:r w:rsidRPr="0099345C">
        <w:rPr>
          <w:rFonts w:ascii="Arial" w:hAnsi="Arial" w:cs="Arial"/>
          <w:b/>
          <w:bCs/>
          <w:sz w:val="22"/>
          <w:szCs w:val="22"/>
          <w:lang w:val="fr-FR"/>
        </w:rPr>
        <w:t>portant modification 1) de la loi modifiée du 21 juin 2005</w:t>
      </w:r>
      <w:r w:rsidR="00B87F75" w:rsidRPr="0099345C">
        <w:rPr>
          <w:rFonts w:ascii="Arial" w:hAnsi="Arial" w:cs="Arial"/>
          <w:b/>
          <w:bCs/>
          <w:sz w:val="22"/>
          <w:szCs w:val="22"/>
          <w:lang w:val="fr-FR"/>
        </w:rPr>
        <w:t xml:space="preserve"> </w:t>
      </w:r>
      <w:r w:rsidRPr="0099345C">
        <w:rPr>
          <w:rFonts w:ascii="Arial" w:hAnsi="Arial" w:cs="Arial"/>
          <w:b/>
          <w:bCs/>
          <w:sz w:val="22"/>
          <w:szCs w:val="22"/>
          <w:lang w:val="fr-FR"/>
        </w:rPr>
        <w:t>transposant en droit luxembourgeois la directive 2003/48/CE du 3 juin 2003 du Conseil de l'Union européenne en matière de fiscalité des revenus de l'épargne sous forme de paiement d'intérêts ; 2) de la loi modifiée du 23 décembre 2005 portant introduction d'une retenue à la source libératoire sur certains intérêts produits par l'épargne mobilière ; 3) de la loi du 21 juin 2005 portant approbation des Accords conclus avec des territoires dépendants ou associés d'États membres de l'Union européenne relatifs à la fiscalité des revenus de l'épargne sous forme de paiements d'intérêts</w:t>
      </w:r>
    </w:p>
    <w:p w:rsidR="000D4CE0" w:rsidRPr="00826773" w:rsidRDefault="000D4CE0" w:rsidP="003472CA">
      <w:pPr>
        <w:jc w:val="both"/>
        <w:rPr>
          <w:rFonts w:ascii="Arial" w:hAnsi="Arial" w:cs="Arial"/>
          <w:color w:val="FF0000"/>
          <w:sz w:val="22"/>
          <w:szCs w:val="22"/>
          <w:lang w:val="fr-FR"/>
        </w:rPr>
      </w:pPr>
    </w:p>
    <w:p w:rsidR="00EC5C79" w:rsidRPr="001A2FB0" w:rsidRDefault="002D75A3" w:rsidP="00CC7456">
      <w:pPr>
        <w:widowControl w:val="0"/>
        <w:autoSpaceDE w:val="0"/>
        <w:autoSpaceDN w:val="0"/>
        <w:adjustRightInd w:val="0"/>
        <w:jc w:val="both"/>
        <w:rPr>
          <w:rFonts w:ascii="Arial" w:hAnsi="Arial" w:cs="Arial"/>
          <w:sz w:val="22"/>
          <w:szCs w:val="22"/>
          <w:lang w:val="fr-FR"/>
        </w:rPr>
      </w:pPr>
      <w:r w:rsidRPr="001A2FB0">
        <w:rPr>
          <w:rFonts w:ascii="Arial" w:hAnsi="Arial" w:cs="Arial"/>
          <w:sz w:val="22"/>
          <w:szCs w:val="22"/>
          <w:lang w:val="fr-FR"/>
        </w:rPr>
        <w:t xml:space="preserve">Le projet de loi sous rubrique a </w:t>
      </w:r>
      <w:r w:rsidR="00E07850">
        <w:rPr>
          <w:rFonts w:ascii="Arial" w:hAnsi="Arial" w:cs="Arial"/>
          <w:sz w:val="22"/>
          <w:szCs w:val="22"/>
          <w:lang w:val="fr-FR"/>
        </w:rPr>
        <w:t>pour</w:t>
      </w:r>
      <w:r w:rsidRPr="001A2FB0">
        <w:rPr>
          <w:rFonts w:ascii="Arial" w:hAnsi="Arial" w:cs="Arial"/>
          <w:sz w:val="22"/>
          <w:szCs w:val="22"/>
          <w:lang w:val="fr-FR"/>
        </w:rPr>
        <w:t xml:space="preserve"> objet d’introduire, au 1</w:t>
      </w:r>
      <w:r w:rsidRPr="00940BB9">
        <w:rPr>
          <w:rFonts w:ascii="Arial" w:hAnsi="Arial" w:cs="Arial"/>
          <w:sz w:val="22"/>
          <w:szCs w:val="22"/>
          <w:vertAlign w:val="superscript"/>
          <w:lang w:val="fr-FR"/>
        </w:rPr>
        <w:t>er</w:t>
      </w:r>
      <w:r w:rsidRPr="001A2FB0">
        <w:rPr>
          <w:rFonts w:ascii="Arial" w:hAnsi="Arial" w:cs="Arial"/>
          <w:sz w:val="22"/>
          <w:szCs w:val="22"/>
          <w:lang w:val="fr-FR"/>
        </w:rPr>
        <w:t xml:space="preserve"> janvier 2015 et sur la</w:t>
      </w:r>
      <w:r w:rsidR="00E07850">
        <w:rPr>
          <w:rFonts w:ascii="Arial" w:hAnsi="Arial" w:cs="Arial"/>
          <w:sz w:val="22"/>
          <w:szCs w:val="22"/>
          <w:lang w:val="fr-FR"/>
        </w:rPr>
        <w:t xml:space="preserve"> </w:t>
      </w:r>
      <w:r w:rsidRPr="001A2FB0">
        <w:rPr>
          <w:rFonts w:ascii="Arial" w:hAnsi="Arial" w:cs="Arial"/>
          <w:sz w:val="22"/>
          <w:szCs w:val="22"/>
          <w:lang w:val="fr-FR"/>
        </w:rPr>
        <w:t xml:space="preserve">base du champ d’application de la directive 2003/48/CE du Conseil du 3 juin 2003 en matière de fiscalité des revenus de l’épargne sous forme de paiements d’intérêts (directive « épargne »), l’échange automatique obligatoire d’informations sur les paiements d’intérêts que des agents payeurs établis au Luxembourg effectuent en faveur de personnes physiques qui ont leur résidence soit dans un autre Etat membre de l’Union européenne, soit dans un des Etats ou territoires ayant conclu un accord réciproque en matière de fiscalité de l’épargne, afin que ces bénéficiaires soient imposés conformément aux dispositions législatives de leur Etat de résidence. </w:t>
      </w:r>
    </w:p>
    <w:p w:rsidR="00CC7456" w:rsidRDefault="00CC7456" w:rsidP="00CC7456">
      <w:pPr>
        <w:widowControl w:val="0"/>
        <w:autoSpaceDE w:val="0"/>
        <w:autoSpaceDN w:val="0"/>
        <w:adjustRightInd w:val="0"/>
        <w:jc w:val="both"/>
        <w:rPr>
          <w:rFonts w:ascii="Arial" w:hAnsi="Arial" w:cs="Arial"/>
          <w:sz w:val="22"/>
          <w:szCs w:val="22"/>
          <w:lang w:val="fr-FR"/>
        </w:rPr>
      </w:pPr>
    </w:p>
    <w:p w:rsidR="001522CC" w:rsidRPr="001A2FB0" w:rsidRDefault="001522CC" w:rsidP="00CC7456">
      <w:pPr>
        <w:widowControl w:val="0"/>
        <w:autoSpaceDE w:val="0"/>
        <w:autoSpaceDN w:val="0"/>
        <w:adjustRightInd w:val="0"/>
        <w:jc w:val="both"/>
        <w:rPr>
          <w:rFonts w:ascii="Arial" w:hAnsi="Arial" w:cs="Arial"/>
          <w:sz w:val="22"/>
          <w:szCs w:val="22"/>
          <w:lang w:val="fr-FR"/>
        </w:rPr>
      </w:pPr>
      <w:r w:rsidRPr="001A2FB0">
        <w:rPr>
          <w:rFonts w:ascii="Arial" w:hAnsi="Arial" w:cs="Arial"/>
          <w:sz w:val="22"/>
          <w:szCs w:val="22"/>
          <w:lang w:val="fr-FR"/>
        </w:rPr>
        <w:t>D’après les considérants de la directive, les revenus de l’épargne sous forme de paiement d’intérêts de créances constituent des revenus imposables pour les résidents de tous les Etats membres. Or, il a souvent été possible aux résidents des Etats membres d’échapper à toute forme d’imposition sur les intérêts perçus dans un Etat membre différent de celui où ils résident. Cette situation a entraîné, dans les mouvements de capitaux entre Etats membres, des distorsions qui sont incompatibles avec le marché intérieur.</w:t>
      </w:r>
      <w:r w:rsidR="00D671B3">
        <w:rPr>
          <w:rFonts w:ascii="Arial" w:hAnsi="Arial" w:cs="Arial"/>
          <w:sz w:val="22"/>
          <w:szCs w:val="22"/>
          <w:lang w:val="fr-FR"/>
        </w:rPr>
        <w:t xml:space="preserve"> </w:t>
      </w:r>
      <w:r w:rsidRPr="001A2FB0">
        <w:rPr>
          <w:rFonts w:ascii="Arial" w:hAnsi="Arial" w:cs="Arial"/>
          <w:sz w:val="22"/>
          <w:szCs w:val="22"/>
          <w:lang w:val="fr-FR"/>
        </w:rPr>
        <w:t xml:space="preserve">La directive </w:t>
      </w:r>
      <w:r w:rsidR="00940BB9">
        <w:rPr>
          <w:rFonts w:ascii="Arial" w:hAnsi="Arial" w:cs="Arial"/>
          <w:sz w:val="22"/>
          <w:szCs w:val="22"/>
          <w:lang w:val="fr-FR"/>
        </w:rPr>
        <w:t>« épargne »</w:t>
      </w:r>
      <w:r w:rsidR="00070AFF">
        <w:rPr>
          <w:rFonts w:ascii="Arial" w:hAnsi="Arial" w:cs="Arial"/>
          <w:sz w:val="22"/>
          <w:szCs w:val="22"/>
          <w:lang w:val="fr-FR"/>
        </w:rPr>
        <w:t xml:space="preserve"> </w:t>
      </w:r>
      <w:r w:rsidRPr="001A2FB0">
        <w:rPr>
          <w:rFonts w:ascii="Arial" w:hAnsi="Arial" w:cs="Arial"/>
          <w:sz w:val="22"/>
          <w:szCs w:val="22"/>
          <w:lang w:val="fr-FR"/>
        </w:rPr>
        <w:t>a pour objectif ultime de permettre que les revenus de l’épargne, sous forme de paiement d’intérêts effectué dans un Etat membre en faveur de bénéficiaires effectifs, qui sont des personnes physiques ayant leur résidence dans un autre Etat membre, soient effectivement imposés conformément aux dispositions législatives de ce dernier Etat membre.</w:t>
      </w:r>
    </w:p>
    <w:p w:rsidR="00CC7456" w:rsidRDefault="00CC7456" w:rsidP="00CC7456">
      <w:pPr>
        <w:widowControl w:val="0"/>
        <w:autoSpaceDE w:val="0"/>
        <w:autoSpaceDN w:val="0"/>
        <w:adjustRightInd w:val="0"/>
        <w:jc w:val="both"/>
        <w:rPr>
          <w:rFonts w:ascii="Arial" w:hAnsi="Arial" w:cs="Arial"/>
          <w:sz w:val="22"/>
          <w:szCs w:val="22"/>
          <w:lang w:val="fr-FR"/>
        </w:rPr>
      </w:pPr>
    </w:p>
    <w:p w:rsidR="001522CC" w:rsidRPr="001A2FB0" w:rsidRDefault="001522CC" w:rsidP="00CC7456">
      <w:pPr>
        <w:widowControl w:val="0"/>
        <w:autoSpaceDE w:val="0"/>
        <w:autoSpaceDN w:val="0"/>
        <w:adjustRightInd w:val="0"/>
        <w:jc w:val="both"/>
        <w:rPr>
          <w:rFonts w:ascii="Arial" w:hAnsi="Arial" w:cs="Arial"/>
          <w:sz w:val="22"/>
          <w:szCs w:val="22"/>
          <w:lang w:val="fr-FR"/>
        </w:rPr>
      </w:pPr>
      <w:r w:rsidRPr="001A2FB0">
        <w:rPr>
          <w:rFonts w:ascii="Arial" w:hAnsi="Arial" w:cs="Arial"/>
          <w:sz w:val="22"/>
          <w:szCs w:val="22"/>
          <w:lang w:val="fr-FR"/>
        </w:rPr>
        <w:t>En raison de différences structurelles, l’Autriche, la Belgique et le Luxembourg n’ont pas été en mesure d’appliquer l’échange automatique d’informations en même temps que les autres Etats membres. Pendant une période de transition, étant donné qu’une retenue à la source peut garantir un niveau minimum d’imposition effective, en particulier à un taux augmentant progressivement à 35%, ces trois Etats membres ont dû appliquer une retenue à la source aux revenus de l’épargne couverts par la directive.</w:t>
      </w:r>
      <w:r w:rsidR="00D671B3">
        <w:rPr>
          <w:rFonts w:ascii="Arial" w:hAnsi="Arial" w:cs="Arial"/>
          <w:sz w:val="22"/>
          <w:szCs w:val="22"/>
          <w:lang w:val="fr-FR"/>
        </w:rPr>
        <w:t xml:space="preserve"> </w:t>
      </w:r>
      <w:r w:rsidRPr="001A2FB0">
        <w:rPr>
          <w:rFonts w:ascii="Arial" w:hAnsi="Arial" w:cs="Arial"/>
          <w:sz w:val="22"/>
          <w:szCs w:val="22"/>
          <w:lang w:val="fr-FR"/>
        </w:rPr>
        <w:t>Au Luxembourg, le taux de la retenue a progressivement augmen</w:t>
      </w:r>
      <w:r w:rsidR="001B60CD" w:rsidRPr="001A2FB0">
        <w:rPr>
          <w:rFonts w:ascii="Arial" w:hAnsi="Arial" w:cs="Arial"/>
          <w:sz w:val="22"/>
          <w:szCs w:val="22"/>
          <w:lang w:val="fr-FR"/>
        </w:rPr>
        <w:t>té: il était de 15% entre juil</w:t>
      </w:r>
      <w:r w:rsidRPr="001A2FB0">
        <w:rPr>
          <w:rFonts w:ascii="Arial" w:hAnsi="Arial" w:cs="Arial"/>
          <w:sz w:val="22"/>
          <w:szCs w:val="22"/>
          <w:lang w:val="fr-FR"/>
        </w:rPr>
        <w:t>let 2005 et juillet 2008 et de 20% jusqu’en juillet 2011. Depuis, le taux est de 35%. 75% des recettes tirées de cette retenue sont transférées à l’Etat de résidence de l’épargnant. L’Etat qui a prélevé la retenue à la source en garde 25%.</w:t>
      </w:r>
    </w:p>
    <w:p w:rsidR="00CC7456" w:rsidRDefault="00CC7456" w:rsidP="00CC7456">
      <w:pPr>
        <w:widowControl w:val="0"/>
        <w:autoSpaceDE w:val="0"/>
        <w:autoSpaceDN w:val="0"/>
        <w:adjustRightInd w:val="0"/>
        <w:jc w:val="both"/>
        <w:rPr>
          <w:rFonts w:ascii="Arial" w:hAnsi="Arial" w:cs="Arial"/>
          <w:sz w:val="22"/>
          <w:szCs w:val="22"/>
          <w:lang w:val="fr-FR"/>
        </w:rPr>
      </w:pPr>
    </w:p>
    <w:p w:rsidR="001B60CD" w:rsidRPr="001A2FB0" w:rsidRDefault="001522CC" w:rsidP="00CC7456">
      <w:pPr>
        <w:widowControl w:val="0"/>
        <w:autoSpaceDE w:val="0"/>
        <w:autoSpaceDN w:val="0"/>
        <w:adjustRightInd w:val="0"/>
        <w:jc w:val="both"/>
        <w:rPr>
          <w:rFonts w:ascii="Arial" w:hAnsi="Arial" w:cs="Arial"/>
          <w:sz w:val="22"/>
          <w:szCs w:val="22"/>
          <w:lang w:val="fr-FR"/>
        </w:rPr>
      </w:pPr>
      <w:r w:rsidRPr="001A2FB0">
        <w:rPr>
          <w:rFonts w:ascii="Arial" w:hAnsi="Arial" w:cs="Arial"/>
          <w:sz w:val="22"/>
          <w:szCs w:val="22"/>
          <w:lang w:val="fr-FR"/>
        </w:rPr>
        <w:t>En vertu de l’article 10 de la directive</w:t>
      </w:r>
      <w:r w:rsidR="001A2FB0">
        <w:rPr>
          <w:rFonts w:ascii="Arial" w:hAnsi="Arial" w:cs="Arial"/>
          <w:sz w:val="22"/>
          <w:szCs w:val="22"/>
          <w:lang w:val="fr-FR"/>
        </w:rPr>
        <w:t xml:space="preserve"> « épargne »</w:t>
      </w:r>
      <w:r w:rsidRPr="001A2FB0">
        <w:rPr>
          <w:rFonts w:ascii="Arial" w:hAnsi="Arial" w:cs="Arial"/>
          <w:sz w:val="22"/>
          <w:szCs w:val="22"/>
          <w:lang w:val="fr-FR"/>
        </w:rPr>
        <w:t>, la phase de transition prendra fin après la conclusion d’accords entre l’Union européenne et la Confédération suisse, la Principauté de Liechtenstein, la République de Saint-Marin, la Principauté de Monaco et la Principauté d’Andorre prévoyant un échange d’informations sur demande et après l’engagement des Etats-Unis à échanger des informations sur demande en application de la convention OCDE</w:t>
      </w:r>
      <w:r w:rsidR="00940BB9">
        <w:rPr>
          <w:rFonts w:ascii="Arial" w:hAnsi="Arial" w:cs="Arial"/>
          <w:sz w:val="22"/>
          <w:szCs w:val="22"/>
          <w:lang w:val="fr-FR"/>
        </w:rPr>
        <w:t xml:space="preserve"> (la «Convention »)</w:t>
      </w:r>
      <w:r w:rsidRPr="001A2FB0">
        <w:rPr>
          <w:rFonts w:ascii="Arial" w:hAnsi="Arial" w:cs="Arial"/>
          <w:sz w:val="22"/>
          <w:szCs w:val="22"/>
          <w:lang w:val="fr-FR"/>
        </w:rPr>
        <w:t>.</w:t>
      </w:r>
      <w:r w:rsidR="00940BB9">
        <w:rPr>
          <w:rFonts w:ascii="Arial" w:hAnsi="Arial" w:cs="Arial"/>
          <w:sz w:val="22"/>
          <w:szCs w:val="22"/>
          <w:lang w:val="fr-FR"/>
        </w:rPr>
        <w:t xml:space="preserve"> Cette dernière</w:t>
      </w:r>
      <w:r w:rsidR="001B60CD" w:rsidRPr="001A2FB0">
        <w:rPr>
          <w:rFonts w:ascii="Arial" w:hAnsi="Arial" w:cs="Arial"/>
          <w:sz w:val="22"/>
          <w:szCs w:val="22"/>
          <w:lang w:val="fr-FR"/>
        </w:rPr>
        <w:t xml:space="preserve"> est l’instrument multilatéral le plus complet et offre des possibilités de coopération fiscale pour combattre l’évasion et la fraude fiscales.</w:t>
      </w:r>
    </w:p>
    <w:p w:rsidR="00CC7456" w:rsidRDefault="00CC7456" w:rsidP="00CC7456">
      <w:pPr>
        <w:widowControl w:val="0"/>
        <w:autoSpaceDE w:val="0"/>
        <w:autoSpaceDN w:val="0"/>
        <w:adjustRightInd w:val="0"/>
        <w:jc w:val="both"/>
        <w:rPr>
          <w:rFonts w:ascii="Arial" w:hAnsi="Arial" w:cs="Arial"/>
          <w:sz w:val="22"/>
          <w:szCs w:val="22"/>
          <w:lang w:val="fr-FR"/>
        </w:rPr>
      </w:pPr>
    </w:p>
    <w:p w:rsidR="001522CC" w:rsidRPr="00F16250" w:rsidRDefault="001B60CD" w:rsidP="00CC7456">
      <w:pPr>
        <w:widowControl w:val="0"/>
        <w:autoSpaceDE w:val="0"/>
        <w:autoSpaceDN w:val="0"/>
        <w:adjustRightInd w:val="0"/>
        <w:jc w:val="both"/>
        <w:rPr>
          <w:rFonts w:ascii="Arial" w:hAnsi="Arial" w:cs="Arial"/>
          <w:sz w:val="22"/>
          <w:szCs w:val="22"/>
          <w:lang w:val="fr-FR"/>
        </w:rPr>
      </w:pPr>
      <w:r w:rsidRPr="001A2FB0">
        <w:rPr>
          <w:rFonts w:ascii="Arial" w:hAnsi="Arial" w:cs="Arial"/>
          <w:sz w:val="22"/>
          <w:szCs w:val="22"/>
          <w:lang w:val="fr-FR"/>
        </w:rPr>
        <w:t xml:space="preserve">Pour répondre à l’appel lancé par le G20 en avril 2009 au Sommet de Londres, sous </w:t>
      </w:r>
      <w:r w:rsidRPr="001A2FB0">
        <w:rPr>
          <w:rFonts w:ascii="Arial" w:hAnsi="Arial" w:cs="Arial"/>
          <w:sz w:val="22"/>
          <w:szCs w:val="22"/>
          <w:lang w:val="fr-FR"/>
        </w:rPr>
        <w:lastRenderedPageBreak/>
        <w:t>l’influence de la grave crise financière et économique,</w:t>
      </w:r>
      <w:r w:rsidR="00506C76">
        <w:rPr>
          <w:rFonts w:ascii="Arial" w:hAnsi="Arial" w:cs="Arial"/>
          <w:sz w:val="22"/>
          <w:szCs w:val="22"/>
          <w:lang w:val="fr-FR"/>
        </w:rPr>
        <w:t xml:space="preserve"> la C</w:t>
      </w:r>
      <w:r w:rsidRPr="001A2FB0">
        <w:rPr>
          <w:rFonts w:ascii="Arial" w:hAnsi="Arial" w:cs="Arial"/>
          <w:sz w:val="22"/>
          <w:szCs w:val="22"/>
          <w:lang w:val="fr-FR"/>
        </w:rPr>
        <w:t>onvention a été alignée sur la norme internationale d’échange de renseignements sur demande et a été ouverte à tous les pays</w:t>
      </w:r>
      <w:r w:rsidR="00070AFF" w:rsidRPr="00070AFF">
        <w:rPr>
          <w:rFonts w:ascii="Arial" w:hAnsi="Arial" w:cs="Arial"/>
          <w:sz w:val="22"/>
          <w:szCs w:val="22"/>
          <w:lang w:val="fr-FR"/>
        </w:rPr>
        <w:t xml:space="preserve"> </w:t>
      </w:r>
      <w:r w:rsidR="00070AFF" w:rsidRPr="001A2FB0">
        <w:rPr>
          <w:rFonts w:ascii="Arial" w:hAnsi="Arial" w:cs="Arial"/>
          <w:sz w:val="22"/>
          <w:szCs w:val="22"/>
          <w:lang w:val="fr-FR"/>
        </w:rPr>
        <w:t>le 1</w:t>
      </w:r>
      <w:r w:rsidR="00070AFF" w:rsidRPr="00CC7456">
        <w:rPr>
          <w:rFonts w:ascii="Arial" w:hAnsi="Arial" w:cs="Arial"/>
          <w:sz w:val="22"/>
          <w:szCs w:val="22"/>
          <w:vertAlign w:val="superscript"/>
          <w:lang w:val="fr-FR"/>
        </w:rPr>
        <w:t>er</w:t>
      </w:r>
      <w:r w:rsidR="00070AFF" w:rsidRPr="001A2FB0">
        <w:rPr>
          <w:rFonts w:ascii="Arial" w:hAnsi="Arial" w:cs="Arial"/>
          <w:sz w:val="22"/>
          <w:szCs w:val="22"/>
          <w:lang w:val="fr-FR"/>
        </w:rPr>
        <w:t xml:space="preserve"> juin 2011</w:t>
      </w:r>
      <w:r w:rsidRPr="001A2FB0">
        <w:rPr>
          <w:rFonts w:ascii="Arial" w:hAnsi="Arial" w:cs="Arial"/>
          <w:sz w:val="22"/>
          <w:szCs w:val="22"/>
          <w:lang w:val="fr-FR"/>
        </w:rPr>
        <w:t>.</w:t>
      </w:r>
      <w:r w:rsidR="00D671B3">
        <w:rPr>
          <w:rFonts w:ascii="Arial" w:hAnsi="Arial" w:cs="Arial"/>
          <w:sz w:val="22"/>
          <w:szCs w:val="22"/>
          <w:lang w:val="fr-FR"/>
        </w:rPr>
        <w:t xml:space="preserve"> </w:t>
      </w:r>
      <w:r w:rsidRPr="001A2FB0">
        <w:rPr>
          <w:rFonts w:ascii="Arial" w:hAnsi="Arial" w:cs="Arial"/>
          <w:sz w:val="22"/>
          <w:szCs w:val="22"/>
          <w:lang w:val="fr-FR"/>
        </w:rPr>
        <w:t xml:space="preserve">Depuis 2009, les leaders du G20 ont </w:t>
      </w:r>
      <w:r w:rsidR="00940BB9">
        <w:rPr>
          <w:rFonts w:ascii="Arial" w:hAnsi="Arial" w:cs="Arial"/>
          <w:sz w:val="22"/>
          <w:szCs w:val="22"/>
          <w:lang w:val="fr-FR"/>
        </w:rPr>
        <w:t>encouragé les pays à signer la C</w:t>
      </w:r>
      <w:r w:rsidRPr="001A2FB0">
        <w:rPr>
          <w:rFonts w:ascii="Arial" w:hAnsi="Arial" w:cs="Arial"/>
          <w:sz w:val="22"/>
          <w:szCs w:val="22"/>
          <w:lang w:val="fr-FR"/>
        </w:rPr>
        <w:t xml:space="preserve">onvention et ont réitéré leur appel au sommet du G20 de septembre 2013 </w:t>
      </w:r>
      <w:r w:rsidR="001A2FB0">
        <w:rPr>
          <w:rFonts w:ascii="Arial" w:hAnsi="Arial" w:cs="Arial"/>
          <w:sz w:val="22"/>
          <w:szCs w:val="22"/>
          <w:lang w:val="fr-FR"/>
        </w:rPr>
        <w:t>où le Communiqué final appelle « </w:t>
      </w:r>
      <w:r w:rsidRPr="001A2FB0">
        <w:rPr>
          <w:rFonts w:ascii="Arial" w:hAnsi="Arial" w:cs="Arial"/>
          <w:sz w:val="22"/>
          <w:szCs w:val="22"/>
          <w:lang w:val="fr-FR"/>
        </w:rPr>
        <w:t>tous les pays à signer sans tarder la Convention concernant l’assistance administrat</w:t>
      </w:r>
      <w:r w:rsidR="001A2FB0">
        <w:rPr>
          <w:rFonts w:ascii="Arial" w:hAnsi="Arial" w:cs="Arial"/>
          <w:sz w:val="22"/>
          <w:szCs w:val="22"/>
          <w:lang w:val="fr-FR"/>
        </w:rPr>
        <w:t>ive mutuelle en matière fiscale »</w:t>
      </w:r>
      <w:r w:rsidRPr="001A2FB0">
        <w:rPr>
          <w:rFonts w:ascii="Arial" w:hAnsi="Arial" w:cs="Arial"/>
          <w:sz w:val="22"/>
          <w:szCs w:val="22"/>
          <w:lang w:val="fr-FR"/>
        </w:rPr>
        <w:t>. A l’heure actuelle, plus de 60 pays l’ont signée et elle a été étendue territo</w:t>
      </w:r>
      <w:r w:rsidR="005C4A6A" w:rsidRPr="001A2FB0">
        <w:rPr>
          <w:rFonts w:ascii="Arial" w:hAnsi="Arial" w:cs="Arial"/>
          <w:sz w:val="22"/>
          <w:szCs w:val="22"/>
          <w:lang w:val="fr-FR"/>
        </w:rPr>
        <w:t>rialement à plus de 10 juridic</w:t>
      </w:r>
      <w:r w:rsidRPr="001A2FB0">
        <w:rPr>
          <w:rFonts w:ascii="Arial" w:hAnsi="Arial" w:cs="Arial"/>
          <w:sz w:val="22"/>
          <w:szCs w:val="22"/>
          <w:lang w:val="fr-FR"/>
        </w:rPr>
        <w:t>tions. Ceci représente un l</w:t>
      </w:r>
      <w:r w:rsidR="00C73F4B" w:rsidRPr="001A2FB0">
        <w:rPr>
          <w:rFonts w:ascii="Arial" w:hAnsi="Arial" w:cs="Arial"/>
          <w:sz w:val="22"/>
          <w:szCs w:val="22"/>
          <w:lang w:val="fr-FR"/>
        </w:rPr>
        <w:t xml:space="preserve">arge éventail de pays comprenant </w:t>
      </w:r>
      <w:r w:rsidR="00FA0F05" w:rsidRPr="001A2FB0">
        <w:rPr>
          <w:rFonts w:ascii="Arial" w:hAnsi="Arial" w:cs="Arial"/>
          <w:sz w:val="22"/>
          <w:szCs w:val="22"/>
          <w:lang w:val="fr-FR"/>
        </w:rPr>
        <w:t>presque tous les pays de l’OCDE et</w:t>
      </w:r>
      <w:r w:rsidRPr="001A2FB0">
        <w:rPr>
          <w:rFonts w:ascii="Arial" w:hAnsi="Arial" w:cs="Arial"/>
          <w:sz w:val="22"/>
          <w:szCs w:val="22"/>
          <w:lang w:val="fr-FR"/>
        </w:rPr>
        <w:t xml:space="preserve"> les centres financiers les plus importants</w:t>
      </w:r>
      <w:r w:rsidR="00FA0F05" w:rsidRPr="001A2FB0">
        <w:rPr>
          <w:rFonts w:ascii="Arial" w:hAnsi="Arial" w:cs="Arial"/>
          <w:sz w:val="22"/>
          <w:szCs w:val="22"/>
          <w:lang w:val="fr-FR"/>
        </w:rPr>
        <w:t>.</w:t>
      </w:r>
      <w:r w:rsidR="00D671B3">
        <w:rPr>
          <w:rFonts w:ascii="Arial" w:hAnsi="Arial" w:cs="Arial"/>
          <w:sz w:val="22"/>
          <w:szCs w:val="22"/>
          <w:lang w:val="fr-FR"/>
        </w:rPr>
        <w:t xml:space="preserve"> </w:t>
      </w:r>
      <w:r w:rsidRPr="001A2FB0">
        <w:rPr>
          <w:rFonts w:ascii="Arial" w:hAnsi="Arial" w:cs="Arial"/>
          <w:sz w:val="22"/>
          <w:szCs w:val="22"/>
          <w:lang w:val="fr-FR"/>
        </w:rPr>
        <w:t xml:space="preserve">La Convention a </w:t>
      </w:r>
      <w:r w:rsidR="00FA0F05" w:rsidRPr="001A2FB0">
        <w:rPr>
          <w:rFonts w:ascii="Arial" w:hAnsi="Arial" w:cs="Arial"/>
          <w:sz w:val="22"/>
          <w:szCs w:val="22"/>
          <w:lang w:val="fr-FR"/>
        </w:rPr>
        <w:t xml:space="preserve">ainsi </w:t>
      </w:r>
      <w:r w:rsidRPr="001A2FB0">
        <w:rPr>
          <w:rFonts w:ascii="Arial" w:hAnsi="Arial" w:cs="Arial"/>
          <w:sz w:val="22"/>
          <w:szCs w:val="22"/>
          <w:lang w:val="fr-FR"/>
        </w:rPr>
        <w:t xml:space="preserve">pris une importance croissante avec l’appel récent du G20 pour que l’échange automatique de renseignements devienne la nouvelle norme </w:t>
      </w:r>
      <w:r w:rsidRPr="00F16250">
        <w:rPr>
          <w:rFonts w:ascii="Arial" w:hAnsi="Arial" w:cs="Arial"/>
          <w:sz w:val="22"/>
          <w:szCs w:val="22"/>
          <w:lang w:val="fr-FR"/>
        </w:rPr>
        <w:t>fiscale internationale en matière d’échange de renseignements.</w:t>
      </w:r>
    </w:p>
    <w:p w:rsidR="00CC7456" w:rsidRDefault="00CC7456" w:rsidP="00CC7456">
      <w:pPr>
        <w:widowControl w:val="0"/>
        <w:autoSpaceDE w:val="0"/>
        <w:autoSpaceDN w:val="0"/>
        <w:adjustRightInd w:val="0"/>
        <w:jc w:val="both"/>
        <w:rPr>
          <w:rFonts w:ascii="Arial" w:hAnsi="Arial" w:cs="Arial"/>
          <w:sz w:val="22"/>
          <w:szCs w:val="22"/>
          <w:lang w:val="fr-FR"/>
        </w:rPr>
      </w:pPr>
    </w:p>
    <w:p w:rsidR="002C330F" w:rsidRPr="00AF5F50" w:rsidRDefault="00F16250" w:rsidP="00CC7456">
      <w:pPr>
        <w:widowControl w:val="0"/>
        <w:autoSpaceDE w:val="0"/>
        <w:autoSpaceDN w:val="0"/>
        <w:adjustRightInd w:val="0"/>
        <w:jc w:val="both"/>
        <w:rPr>
          <w:rFonts w:ascii="Arial" w:hAnsi="Arial" w:cs="Arial"/>
          <w:b/>
          <w:lang w:val="fr-FR"/>
        </w:rPr>
      </w:pPr>
      <w:r w:rsidRPr="00F16250">
        <w:rPr>
          <w:rFonts w:ascii="Arial" w:hAnsi="Arial" w:cs="Arial"/>
          <w:sz w:val="22"/>
          <w:szCs w:val="22"/>
          <w:lang w:val="fr-FR"/>
        </w:rPr>
        <w:t xml:space="preserve">Lors de la réunion du 20 mars 2014 du Conseil européen à Bruxelles, le gouvernement luxembourgeois a donné son accord pour mettre en oeuvre l’échange </w:t>
      </w:r>
      <w:r w:rsidRPr="002C330F">
        <w:rPr>
          <w:rFonts w:ascii="Arial" w:hAnsi="Arial" w:cs="Arial"/>
          <w:sz w:val="22"/>
          <w:szCs w:val="22"/>
          <w:lang w:val="fr-FR"/>
        </w:rPr>
        <w:t xml:space="preserve">automatique d’informations sur les revenus de l’épargne sous forme d’intérêts. </w:t>
      </w:r>
      <w:r w:rsidR="00FA0F05" w:rsidRPr="002C330F">
        <w:rPr>
          <w:rFonts w:ascii="Arial" w:hAnsi="Arial" w:cs="Arial"/>
          <w:sz w:val="22"/>
          <w:szCs w:val="22"/>
          <w:lang w:val="fr-FR"/>
        </w:rPr>
        <w:t xml:space="preserve">L’abandon de la retenue à la source et l’introduction de l’échange automatique obligatoire d’informations sur certains revenus de l’épargne par le Luxembourg suit </w:t>
      </w:r>
      <w:r w:rsidRPr="002C330F">
        <w:rPr>
          <w:rFonts w:ascii="Arial" w:hAnsi="Arial" w:cs="Arial"/>
          <w:sz w:val="22"/>
          <w:szCs w:val="22"/>
          <w:lang w:val="fr-FR"/>
        </w:rPr>
        <w:t xml:space="preserve">également </w:t>
      </w:r>
      <w:r w:rsidR="00FA0F05" w:rsidRPr="002C330F">
        <w:rPr>
          <w:rFonts w:ascii="Arial" w:hAnsi="Arial" w:cs="Arial"/>
          <w:sz w:val="22"/>
          <w:szCs w:val="22"/>
          <w:lang w:val="fr-FR"/>
        </w:rPr>
        <w:t>l’annonce du Gouvernement luxembourgeois du 10 avril 2013 de</w:t>
      </w:r>
      <w:r w:rsidR="00340135" w:rsidRPr="002C330F">
        <w:rPr>
          <w:rFonts w:ascii="Arial" w:hAnsi="Arial" w:cs="Arial"/>
          <w:sz w:val="22"/>
          <w:szCs w:val="22"/>
          <w:lang w:val="fr-FR"/>
        </w:rPr>
        <w:t xml:space="preserve"> proposer de ne plus appliquer le mécanisme transitoire de retenue à la source et de passer à l’échange automatique d’informations. Le projet de loi sous rubrique porte </w:t>
      </w:r>
      <w:r w:rsidR="00506C76">
        <w:rPr>
          <w:rFonts w:ascii="Arial" w:hAnsi="Arial" w:cs="Arial"/>
          <w:sz w:val="22"/>
          <w:szCs w:val="22"/>
          <w:lang w:val="fr-FR"/>
        </w:rPr>
        <w:t>donc</w:t>
      </w:r>
      <w:r w:rsidR="00340135" w:rsidRPr="002C330F">
        <w:rPr>
          <w:rFonts w:ascii="Arial" w:hAnsi="Arial" w:cs="Arial"/>
          <w:sz w:val="22"/>
          <w:szCs w:val="22"/>
          <w:lang w:val="fr-FR"/>
        </w:rPr>
        <w:t xml:space="preserve"> abandon </w:t>
      </w:r>
      <w:r w:rsidR="002C330F" w:rsidRPr="002C330F">
        <w:rPr>
          <w:rFonts w:ascii="Arial" w:hAnsi="Arial" w:cs="Arial"/>
          <w:sz w:val="22"/>
          <w:szCs w:val="22"/>
          <w:lang w:val="fr-FR"/>
        </w:rPr>
        <w:t xml:space="preserve">au mécanisme transitoire de retenue à la source européenne pour lequel le Luxembourg avait opté </w:t>
      </w:r>
      <w:r w:rsidR="00AF5F50">
        <w:rPr>
          <w:rFonts w:ascii="Arial" w:hAnsi="Arial" w:cs="Arial"/>
          <w:sz w:val="22"/>
          <w:szCs w:val="22"/>
          <w:lang w:val="fr-FR"/>
        </w:rPr>
        <w:t>auparavant.</w:t>
      </w:r>
    </w:p>
    <w:p w:rsidR="00CC7456" w:rsidRDefault="00CC7456" w:rsidP="00CC7456">
      <w:pPr>
        <w:widowControl w:val="0"/>
        <w:autoSpaceDE w:val="0"/>
        <w:autoSpaceDN w:val="0"/>
        <w:adjustRightInd w:val="0"/>
        <w:jc w:val="both"/>
        <w:rPr>
          <w:rFonts w:ascii="Arial" w:hAnsi="Arial" w:cs="Arial"/>
          <w:sz w:val="22"/>
          <w:szCs w:val="22"/>
          <w:lang w:val="fr-FR"/>
        </w:rPr>
      </w:pPr>
    </w:p>
    <w:p w:rsidR="00A0125D" w:rsidRPr="00BB14C9" w:rsidRDefault="00AF5F50" w:rsidP="00CC7456">
      <w:pPr>
        <w:widowControl w:val="0"/>
        <w:autoSpaceDE w:val="0"/>
        <w:autoSpaceDN w:val="0"/>
        <w:adjustRightInd w:val="0"/>
        <w:jc w:val="both"/>
        <w:rPr>
          <w:rFonts w:ascii="Arial" w:hAnsi="Arial" w:cs="Arial"/>
          <w:sz w:val="22"/>
          <w:szCs w:val="22"/>
          <w:lang w:val="fr-FR"/>
        </w:rPr>
      </w:pPr>
      <w:r>
        <w:rPr>
          <w:rFonts w:ascii="Arial" w:hAnsi="Arial" w:cs="Arial"/>
          <w:sz w:val="22"/>
          <w:szCs w:val="22"/>
          <w:lang w:val="fr-FR"/>
        </w:rPr>
        <w:t>I</w:t>
      </w:r>
      <w:r w:rsidR="00340135" w:rsidRPr="001A2FB0">
        <w:rPr>
          <w:rFonts w:ascii="Arial" w:hAnsi="Arial" w:cs="Arial"/>
          <w:sz w:val="22"/>
          <w:szCs w:val="22"/>
          <w:lang w:val="fr-FR"/>
        </w:rPr>
        <w:t xml:space="preserve">l implique certaines adaptations, de nature purement technique, de la loi modifiée du 23 décembre 2005 portant introduction d’une retenue à la source libératoire sur certains intérêts produits par l’épargne mobilière (loi « RELIBI »). </w:t>
      </w:r>
      <w:r w:rsidR="002D75A3" w:rsidRPr="001A2FB0">
        <w:rPr>
          <w:rFonts w:ascii="Arial" w:hAnsi="Arial" w:cs="Arial"/>
          <w:sz w:val="22"/>
          <w:szCs w:val="22"/>
          <w:lang w:val="fr-FR"/>
        </w:rPr>
        <w:t xml:space="preserve">En effet, ladite loi renferme des renvois à certaines dispositions de la loi modifiée du 21 juin 2005 transposant en droit luxembourgeois </w:t>
      </w:r>
      <w:r w:rsidR="00A0125D" w:rsidRPr="001A2FB0">
        <w:rPr>
          <w:rFonts w:ascii="Arial" w:hAnsi="Arial" w:cs="Arial"/>
          <w:sz w:val="22"/>
          <w:szCs w:val="22"/>
          <w:lang w:val="fr-FR"/>
        </w:rPr>
        <w:t>ladite directive « épargne »</w:t>
      </w:r>
      <w:r w:rsidR="002D75A3" w:rsidRPr="001A2FB0">
        <w:rPr>
          <w:rFonts w:ascii="Arial" w:hAnsi="Arial" w:cs="Arial"/>
          <w:sz w:val="22"/>
          <w:szCs w:val="22"/>
          <w:lang w:val="fr-FR"/>
        </w:rPr>
        <w:t xml:space="preserve"> (loi « RIUE »). </w:t>
      </w:r>
      <w:r w:rsidR="00A0125D" w:rsidRPr="001A2FB0">
        <w:rPr>
          <w:rFonts w:ascii="Arial" w:hAnsi="Arial" w:cs="Arial"/>
          <w:sz w:val="22"/>
          <w:szCs w:val="22"/>
          <w:lang w:val="fr-FR"/>
        </w:rPr>
        <w:t>Il est à préciser que, s</w:t>
      </w:r>
      <w:r w:rsidR="002D75A3" w:rsidRPr="001A2FB0">
        <w:rPr>
          <w:rFonts w:ascii="Arial" w:hAnsi="Arial" w:cs="Arial"/>
          <w:sz w:val="22"/>
          <w:szCs w:val="22"/>
          <w:lang w:val="fr-FR"/>
        </w:rPr>
        <w:t xml:space="preserve">auf lesdits amendements en ce qui concerne les renvois, les dispositions législatives en vigueur pour des personnes physiques </w:t>
      </w:r>
      <w:r w:rsidR="002D75A3" w:rsidRPr="00BB14C9">
        <w:rPr>
          <w:rFonts w:ascii="Arial" w:hAnsi="Arial" w:cs="Arial"/>
          <w:sz w:val="22"/>
          <w:szCs w:val="22"/>
          <w:lang w:val="fr-FR"/>
        </w:rPr>
        <w:t>résidant au Luxembourg restent inchangées.</w:t>
      </w:r>
    </w:p>
    <w:p w:rsidR="00CC7456" w:rsidRDefault="00CC7456" w:rsidP="00CC7456">
      <w:pPr>
        <w:widowControl w:val="0"/>
        <w:autoSpaceDE w:val="0"/>
        <w:autoSpaceDN w:val="0"/>
        <w:adjustRightInd w:val="0"/>
        <w:jc w:val="both"/>
        <w:rPr>
          <w:rFonts w:ascii="Arial" w:hAnsi="Arial" w:cs="Arial"/>
          <w:sz w:val="22"/>
          <w:szCs w:val="22"/>
          <w:lang w:val="fr-FR"/>
        </w:rPr>
      </w:pPr>
    </w:p>
    <w:p w:rsidR="002D75A3" w:rsidRPr="001A2FB0" w:rsidRDefault="002D75A3" w:rsidP="00CC7456">
      <w:pPr>
        <w:widowControl w:val="0"/>
        <w:autoSpaceDE w:val="0"/>
        <w:autoSpaceDN w:val="0"/>
        <w:adjustRightInd w:val="0"/>
        <w:jc w:val="both"/>
        <w:rPr>
          <w:rFonts w:ascii="Arial" w:hAnsi="Arial" w:cs="Arial"/>
          <w:sz w:val="22"/>
          <w:szCs w:val="22"/>
          <w:lang w:val="fr-FR"/>
        </w:rPr>
      </w:pPr>
      <w:r w:rsidRPr="001A2FB0">
        <w:rPr>
          <w:rFonts w:ascii="Arial" w:hAnsi="Arial" w:cs="Arial"/>
          <w:sz w:val="22"/>
          <w:szCs w:val="22"/>
          <w:lang w:val="fr-FR"/>
        </w:rPr>
        <w:t>En ce qui concerne la loi du 21 juin 2005 portant approbation des Accords conclus avec des territoires dépendants ou associés d’Etats membres de l’Union européenne relatifs à la fiscalité des revenus de l’épargne sous forme de paiemen</w:t>
      </w:r>
      <w:r w:rsidR="00A0125D" w:rsidRPr="001A2FB0">
        <w:rPr>
          <w:rFonts w:ascii="Arial" w:hAnsi="Arial" w:cs="Arial"/>
          <w:sz w:val="22"/>
          <w:szCs w:val="22"/>
          <w:lang w:val="fr-FR"/>
        </w:rPr>
        <w:t>ts d’intérêts, il n’y a pas besoin</w:t>
      </w:r>
      <w:r w:rsidRPr="001A2FB0">
        <w:rPr>
          <w:rFonts w:ascii="Arial" w:hAnsi="Arial" w:cs="Arial"/>
          <w:sz w:val="22"/>
          <w:szCs w:val="22"/>
          <w:lang w:val="fr-FR"/>
        </w:rPr>
        <w:t xml:space="preserve"> de l’amender </w:t>
      </w:r>
      <w:r w:rsidR="00A0125D" w:rsidRPr="001A2FB0">
        <w:rPr>
          <w:rFonts w:ascii="Arial" w:hAnsi="Arial" w:cs="Arial"/>
          <w:sz w:val="22"/>
          <w:szCs w:val="22"/>
          <w:lang w:val="fr-FR"/>
        </w:rPr>
        <w:t>vu</w:t>
      </w:r>
      <w:r w:rsidRPr="001A2FB0">
        <w:rPr>
          <w:rFonts w:ascii="Arial" w:hAnsi="Arial" w:cs="Arial"/>
          <w:sz w:val="22"/>
          <w:szCs w:val="22"/>
          <w:lang w:val="fr-FR"/>
        </w:rPr>
        <w:t xml:space="preserve"> que tous les accords réciproques prévoient explicitement que si une partie contractante choisit d’appliquer les dispositions de l’échange automatique, elle n’applique plus la retenue à la source, ni le partage des recettes.</w:t>
      </w:r>
      <w:r w:rsidR="00CC7456">
        <w:rPr>
          <w:rFonts w:ascii="Arial" w:hAnsi="Arial" w:cs="Arial"/>
          <w:sz w:val="22"/>
          <w:szCs w:val="22"/>
          <w:lang w:val="fr-FR"/>
        </w:rPr>
        <w:t xml:space="preserve"> </w:t>
      </w:r>
      <w:r w:rsidRPr="001A2FB0">
        <w:rPr>
          <w:rFonts w:ascii="Arial" w:hAnsi="Arial" w:cs="Arial"/>
          <w:sz w:val="22"/>
          <w:szCs w:val="22"/>
          <w:lang w:val="fr-FR"/>
        </w:rPr>
        <w:t>Toutefois, il importe que cette option du Luxembourg pour l’échange automatique soit approuvée par une loi luxembourgeoise.</w:t>
      </w:r>
    </w:p>
    <w:p w:rsidR="00CC7456" w:rsidRDefault="00CC7456" w:rsidP="00CC7456">
      <w:pPr>
        <w:widowControl w:val="0"/>
        <w:autoSpaceDE w:val="0"/>
        <w:autoSpaceDN w:val="0"/>
        <w:adjustRightInd w:val="0"/>
        <w:jc w:val="both"/>
        <w:rPr>
          <w:rFonts w:ascii="Arial" w:hAnsi="Arial" w:cs="Arial"/>
          <w:sz w:val="22"/>
          <w:szCs w:val="22"/>
          <w:lang w:val="fr-FR"/>
        </w:rPr>
      </w:pPr>
    </w:p>
    <w:p w:rsidR="002B007E" w:rsidRDefault="002B007E" w:rsidP="00CC7456">
      <w:pPr>
        <w:widowControl w:val="0"/>
        <w:autoSpaceDE w:val="0"/>
        <w:autoSpaceDN w:val="0"/>
        <w:adjustRightInd w:val="0"/>
        <w:jc w:val="both"/>
        <w:rPr>
          <w:rFonts w:ascii="Arial" w:hAnsi="Arial" w:cs="Arial"/>
          <w:sz w:val="22"/>
          <w:szCs w:val="22"/>
          <w:lang w:val="fr-FR"/>
        </w:rPr>
      </w:pPr>
      <w:r w:rsidRPr="001A2FB0">
        <w:rPr>
          <w:rFonts w:ascii="Arial" w:hAnsi="Arial" w:cs="Arial"/>
          <w:sz w:val="22"/>
          <w:szCs w:val="22"/>
          <w:lang w:val="fr-FR"/>
        </w:rPr>
        <w:t>La fiche financière jointe au texte du projet de loi précise que sera engendrée une perte de recettes fiscales estimée à quelque 47 millions d’euros par an.</w:t>
      </w:r>
    </w:p>
    <w:p w:rsidR="00CC7456" w:rsidRDefault="00CC7456" w:rsidP="00CC7456">
      <w:pPr>
        <w:widowControl w:val="0"/>
        <w:autoSpaceDE w:val="0"/>
        <w:autoSpaceDN w:val="0"/>
        <w:adjustRightInd w:val="0"/>
        <w:jc w:val="both"/>
        <w:rPr>
          <w:rFonts w:ascii="Arial" w:hAnsi="Arial" w:cs="Arial"/>
          <w:sz w:val="22"/>
          <w:szCs w:val="22"/>
          <w:lang w:val="fr-FR"/>
        </w:rPr>
      </w:pPr>
    </w:p>
    <w:p w:rsidR="00444287" w:rsidRPr="006C52BE" w:rsidRDefault="00444287" w:rsidP="006C52BE">
      <w:pPr>
        <w:widowControl w:val="0"/>
        <w:autoSpaceDE w:val="0"/>
        <w:autoSpaceDN w:val="0"/>
        <w:adjustRightInd w:val="0"/>
        <w:spacing w:after="240"/>
        <w:jc w:val="both"/>
        <w:rPr>
          <w:rFonts w:ascii="Arial" w:hAnsi="Arial" w:cs="Arial"/>
          <w:sz w:val="22"/>
          <w:szCs w:val="22"/>
          <w:lang w:val="fr-FR"/>
        </w:rPr>
      </w:pPr>
    </w:p>
    <w:sectPr w:rsidR="00444287" w:rsidRPr="006C52BE" w:rsidSect="00992E5D">
      <w:headerReference w:type="even" r:id="rId7"/>
      <w:footerReference w:type="default" r:id="rId8"/>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203" w:rsidRDefault="00894203" w:rsidP="0076556B">
      <w:r>
        <w:separator/>
      </w:r>
    </w:p>
  </w:endnote>
  <w:endnote w:type="continuationSeparator" w:id="0">
    <w:p w:rsidR="00894203" w:rsidRDefault="00894203" w:rsidP="0076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1FA" w:rsidRDefault="006B37F8">
    <w:pPr>
      <w:pStyle w:val="Pieddepage"/>
      <w:jc w:val="center"/>
    </w:pPr>
    <w:r w:rsidRPr="00275965">
      <w:rPr>
        <w:rFonts w:ascii="Arial" w:hAnsi="Arial" w:cs="Arial"/>
      </w:rPr>
      <w:fldChar w:fldCharType="begin"/>
    </w:r>
    <w:r w:rsidR="00F501FA" w:rsidRPr="00275965">
      <w:rPr>
        <w:rFonts w:ascii="Arial" w:hAnsi="Arial" w:cs="Arial"/>
      </w:rPr>
      <w:instrText xml:space="preserve"> PAGE   \* MERGEFORMAT </w:instrText>
    </w:r>
    <w:r w:rsidRPr="00275965">
      <w:rPr>
        <w:rFonts w:ascii="Arial" w:hAnsi="Arial" w:cs="Arial"/>
      </w:rPr>
      <w:fldChar w:fldCharType="separate"/>
    </w:r>
    <w:r w:rsidR="00355BA7">
      <w:rPr>
        <w:rFonts w:ascii="Arial" w:hAnsi="Arial" w:cs="Arial"/>
        <w:noProof/>
      </w:rPr>
      <w:t>2</w:t>
    </w:r>
    <w:r w:rsidRPr="00275965">
      <w:rPr>
        <w:rFonts w:ascii="Arial" w:hAnsi="Arial" w:cs="Arial"/>
      </w:rPr>
      <w:fldChar w:fldCharType="end"/>
    </w:r>
  </w:p>
  <w:p w:rsidR="00F501FA" w:rsidRDefault="00F501F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203" w:rsidRDefault="00894203" w:rsidP="0076556B">
      <w:r>
        <w:separator/>
      </w:r>
    </w:p>
  </w:footnote>
  <w:footnote w:type="continuationSeparator" w:id="0">
    <w:p w:rsidR="00894203" w:rsidRDefault="00894203" w:rsidP="007655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1FA" w:rsidRDefault="006B37F8" w:rsidP="00992E5D">
    <w:pPr>
      <w:pStyle w:val="En-tte"/>
      <w:framePr w:wrap="around" w:vAnchor="text" w:hAnchor="margin" w:xAlign="center" w:y="1"/>
      <w:rPr>
        <w:rStyle w:val="Numrodepage"/>
      </w:rPr>
    </w:pPr>
    <w:r>
      <w:rPr>
        <w:rStyle w:val="Numrodepage"/>
      </w:rPr>
      <w:fldChar w:fldCharType="begin"/>
    </w:r>
    <w:r w:rsidR="00F501FA">
      <w:rPr>
        <w:rStyle w:val="Numrodepage"/>
      </w:rPr>
      <w:instrText xml:space="preserve">PAGE  </w:instrText>
    </w:r>
    <w:r>
      <w:rPr>
        <w:rStyle w:val="Numrodepage"/>
      </w:rPr>
      <w:fldChar w:fldCharType="separate"/>
    </w:r>
    <w:r w:rsidR="00F501FA">
      <w:rPr>
        <w:rStyle w:val="Numrodepage"/>
        <w:noProof/>
      </w:rPr>
      <w:t>3</w:t>
    </w:r>
    <w:r>
      <w:rPr>
        <w:rStyle w:val="Numrodepage"/>
      </w:rPr>
      <w:fldChar w:fldCharType="end"/>
    </w:r>
  </w:p>
  <w:p w:rsidR="00F501FA" w:rsidRDefault="00F501F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2"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4"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694A1326"/>
    <w:multiLevelType w:val="hybridMultilevel"/>
    <w:tmpl w:val="3736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5"/>
  </w:num>
  <w:num w:numId="4">
    <w:abstractNumId w:val="4"/>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F3B"/>
    <w:rsid w:val="00005774"/>
    <w:rsid w:val="000123FD"/>
    <w:rsid w:val="00012D67"/>
    <w:rsid w:val="000149DF"/>
    <w:rsid w:val="00014E14"/>
    <w:rsid w:val="00020F8F"/>
    <w:rsid w:val="000367E3"/>
    <w:rsid w:val="00047D6E"/>
    <w:rsid w:val="00065C58"/>
    <w:rsid w:val="00066C9E"/>
    <w:rsid w:val="0007025D"/>
    <w:rsid w:val="00070AFF"/>
    <w:rsid w:val="00070D5A"/>
    <w:rsid w:val="00072DDD"/>
    <w:rsid w:val="0007377C"/>
    <w:rsid w:val="000A08C1"/>
    <w:rsid w:val="000A4104"/>
    <w:rsid w:val="000A5BD4"/>
    <w:rsid w:val="000A5CB6"/>
    <w:rsid w:val="000B2B84"/>
    <w:rsid w:val="000B72A6"/>
    <w:rsid w:val="000D4CE0"/>
    <w:rsid w:val="000F0DFB"/>
    <w:rsid w:val="000F1C60"/>
    <w:rsid w:val="000F57B7"/>
    <w:rsid w:val="000F66FE"/>
    <w:rsid w:val="00100FA6"/>
    <w:rsid w:val="00105F0B"/>
    <w:rsid w:val="001120DF"/>
    <w:rsid w:val="001122D8"/>
    <w:rsid w:val="0012076D"/>
    <w:rsid w:val="00121DAD"/>
    <w:rsid w:val="001250B8"/>
    <w:rsid w:val="00131A7A"/>
    <w:rsid w:val="001355FA"/>
    <w:rsid w:val="001419CB"/>
    <w:rsid w:val="001522CC"/>
    <w:rsid w:val="00162715"/>
    <w:rsid w:val="001666B0"/>
    <w:rsid w:val="00167999"/>
    <w:rsid w:val="0017004E"/>
    <w:rsid w:val="001875E8"/>
    <w:rsid w:val="00191C92"/>
    <w:rsid w:val="00192824"/>
    <w:rsid w:val="001943DF"/>
    <w:rsid w:val="001A2FB0"/>
    <w:rsid w:val="001B60CD"/>
    <w:rsid w:val="001B624D"/>
    <w:rsid w:val="001C283B"/>
    <w:rsid w:val="001F27F6"/>
    <w:rsid w:val="001F6E58"/>
    <w:rsid w:val="00201204"/>
    <w:rsid w:val="00205B4A"/>
    <w:rsid w:val="002067C8"/>
    <w:rsid w:val="00207E01"/>
    <w:rsid w:val="00223ACA"/>
    <w:rsid w:val="00224B03"/>
    <w:rsid w:val="00232A27"/>
    <w:rsid w:val="00241C41"/>
    <w:rsid w:val="002445B2"/>
    <w:rsid w:val="002510B8"/>
    <w:rsid w:val="00251199"/>
    <w:rsid w:val="00257F05"/>
    <w:rsid w:val="00262812"/>
    <w:rsid w:val="00272950"/>
    <w:rsid w:val="002734C7"/>
    <w:rsid w:val="00275965"/>
    <w:rsid w:val="00280557"/>
    <w:rsid w:val="002927E0"/>
    <w:rsid w:val="00294811"/>
    <w:rsid w:val="00294FF8"/>
    <w:rsid w:val="00295442"/>
    <w:rsid w:val="002A16C8"/>
    <w:rsid w:val="002A5E19"/>
    <w:rsid w:val="002B007E"/>
    <w:rsid w:val="002B3F7A"/>
    <w:rsid w:val="002B7A61"/>
    <w:rsid w:val="002C0667"/>
    <w:rsid w:val="002C330F"/>
    <w:rsid w:val="002C4083"/>
    <w:rsid w:val="002D00A1"/>
    <w:rsid w:val="002D75A3"/>
    <w:rsid w:val="002F094A"/>
    <w:rsid w:val="002F1939"/>
    <w:rsid w:val="0030341A"/>
    <w:rsid w:val="00306780"/>
    <w:rsid w:val="00310429"/>
    <w:rsid w:val="00325217"/>
    <w:rsid w:val="00331581"/>
    <w:rsid w:val="00331590"/>
    <w:rsid w:val="00340135"/>
    <w:rsid w:val="00343321"/>
    <w:rsid w:val="003472CA"/>
    <w:rsid w:val="00355BA7"/>
    <w:rsid w:val="00361AD1"/>
    <w:rsid w:val="00371EE2"/>
    <w:rsid w:val="00372690"/>
    <w:rsid w:val="00380561"/>
    <w:rsid w:val="003945F5"/>
    <w:rsid w:val="003A2901"/>
    <w:rsid w:val="003C024C"/>
    <w:rsid w:val="003D1839"/>
    <w:rsid w:val="003D3A60"/>
    <w:rsid w:val="003E2A95"/>
    <w:rsid w:val="003E314E"/>
    <w:rsid w:val="003F7732"/>
    <w:rsid w:val="003F78BA"/>
    <w:rsid w:val="00404EA9"/>
    <w:rsid w:val="00405CA2"/>
    <w:rsid w:val="0041209E"/>
    <w:rsid w:val="004215AF"/>
    <w:rsid w:val="004237F4"/>
    <w:rsid w:val="00424933"/>
    <w:rsid w:val="004266C3"/>
    <w:rsid w:val="00430A58"/>
    <w:rsid w:val="00440C56"/>
    <w:rsid w:val="00443162"/>
    <w:rsid w:val="00444287"/>
    <w:rsid w:val="00474EF8"/>
    <w:rsid w:val="004878DD"/>
    <w:rsid w:val="004908CD"/>
    <w:rsid w:val="00490E72"/>
    <w:rsid w:val="00494B09"/>
    <w:rsid w:val="0049775A"/>
    <w:rsid w:val="004A07E2"/>
    <w:rsid w:val="004A3AE4"/>
    <w:rsid w:val="004C4CC3"/>
    <w:rsid w:val="004E0496"/>
    <w:rsid w:val="004E5B4D"/>
    <w:rsid w:val="004F15BF"/>
    <w:rsid w:val="004F34CD"/>
    <w:rsid w:val="004F69BB"/>
    <w:rsid w:val="005042AC"/>
    <w:rsid w:val="00506C76"/>
    <w:rsid w:val="00526604"/>
    <w:rsid w:val="00540579"/>
    <w:rsid w:val="00567D75"/>
    <w:rsid w:val="005746E6"/>
    <w:rsid w:val="00574E94"/>
    <w:rsid w:val="0058142E"/>
    <w:rsid w:val="0058613B"/>
    <w:rsid w:val="00593481"/>
    <w:rsid w:val="005977EB"/>
    <w:rsid w:val="005A1870"/>
    <w:rsid w:val="005A5F21"/>
    <w:rsid w:val="005C111B"/>
    <w:rsid w:val="005C4A6A"/>
    <w:rsid w:val="005D1765"/>
    <w:rsid w:val="005E1405"/>
    <w:rsid w:val="005F7497"/>
    <w:rsid w:val="00612756"/>
    <w:rsid w:val="00613118"/>
    <w:rsid w:val="00621347"/>
    <w:rsid w:val="00632F3B"/>
    <w:rsid w:val="00637B4F"/>
    <w:rsid w:val="00644D90"/>
    <w:rsid w:val="00647D10"/>
    <w:rsid w:val="00650456"/>
    <w:rsid w:val="006609B8"/>
    <w:rsid w:val="006718C7"/>
    <w:rsid w:val="00675238"/>
    <w:rsid w:val="006808D5"/>
    <w:rsid w:val="00680A95"/>
    <w:rsid w:val="00682ECC"/>
    <w:rsid w:val="00690CF8"/>
    <w:rsid w:val="006B37F8"/>
    <w:rsid w:val="006C2AE3"/>
    <w:rsid w:val="006C4A37"/>
    <w:rsid w:val="006C52BE"/>
    <w:rsid w:val="006F5407"/>
    <w:rsid w:val="00700AB2"/>
    <w:rsid w:val="00703BF4"/>
    <w:rsid w:val="00713C62"/>
    <w:rsid w:val="00732BD6"/>
    <w:rsid w:val="00745442"/>
    <w:rsid w:val="00746D60"/>
    <w:rsid w:val="007479CC"/>
    <w:rsid w:val="00755C19"/>
    <w:rsid w:val="00760976"/>
    <w:rsid w:val="00761847"/>
    <w:rsid w:val="0076263F"/>
    <w:rsid w:val="0076556B"/>
    <w:rsid w:val="0078296F"/>
    <w:rsid w:val="0079608A"/>
    <w:rsid w:val="00797D46"/>
    <w:rsid w:val="007A7A3F"/>
    <w:rsid w:val="007B7886"/>
    <w:rsid w:val="007C26AB"/>
    <w:rsid w:val="007E0030"/>
    <w:rsid w:val="007E5485"/>
    <w:rsid w:val="007F7886"/>
    <w:rsid w:val="00801D3E"/>
    <w:rsid w:val="00803DE4"/>
    <w:rsid w:val="00804B14"/>
    <w:rsid w:val="0080675A"/>
    <w:rsid w:val="00815425"/>
    <w:rsid w:val="008232C3"/>
    <w:rsid w:val="00826773"/>
    <w:rsid w:val="00834FC4"/>
    <w:rsid w:val="00852D69"/>
    <w:rsid w:val="00856DA2"/>
    <w:rsid w:val="00863AAE"/>
    <w:rsid w:val="00875707"/>
    <w:rsid w:val="0087770C"/>
    <w:rsid w:val="00885F6E"/>
    <w:rsid w:val="00894203"/>
    <w:rsid w:val="008B195A"/>
    <w:rsid w:val="008B4C27"/>
    <w:rsid w:val="008B70EE"/>
    <w:rsid w:val="008C3386"/>
    <w:rsid w:val="008D131E"/>
    <w:rsid w:val="008D334B"/>
    <w:rsid w:val="008D773F"/>
    <w:rsid w:val="008D7A4C"/>
    <w:rsid w:val="008E3DA3"/>
    <w:rsid w:val="008E79B7"/>
    <w:rsid w:val="008F1766"/>
    <w:rsid w:val="008F4ED7"/>
    <w:rsid w:val="009021C4"/>
    <w:rsid w:val="0090287F"/>
    <w:rsid w:val="00903F4D"/>
    <w:rsid w:val="00913EC2"/>
    <w:rsid w:val="009334FC"/>
    <w:rsid w:val="00940BB9"/>
    <w:rsid w:val="009449F4"/>
    <w:rsid w:val="00953028"/>
    <w:rsid w:val="009615E1"/>
    <w:rsid w:val="00965811"/>
    <w:rsid w:val="00977892"/>
    <w:rsid w:val="009812D5"/>
    <w:rsid w:val="00982DF4"/>
    <w:rsid w:val="009860B6"/>
    <w:rsid w:val="009908E2"/>
    <w:rsid w:val="00992E5D"/>
    <w:rsid w:val="0099345C"/>
    <w:rsid w:val="009A0EA0"/>
    <w:rsid w:val="009A2070"/>
    <w:rsid w:val="009C346E"/>
    <w:rsid w:val="009C76E9"/>
    <w:rsid w:val="009D0C63"/>
    <w:rsid w:val="009E7323"/>
    <w:rsid w:val="009F4334"/>
    <w:rsid w:val="00A0125D"/>
    <w:rsid w:val="00A129C7"/>
    <w:rsid w:val="00A24BC3"/>
    <w:rsid w:val="00A30453"/>
    <w:rsid w:val="00A31811"/>
    <w:rsid w:val="00A328AE"/>
    <w:rsid w:val="00A32E72"/>
    <w:rsid w:val="00A3307E"/>
    <w:rsid w:val="00A6193B"/>
    <w:rsid w:val="00A62E23"/>
    <w:rsid w:val="00A63570"/>
    <w:rsid w:val="00A64EAA"/>
    <w:rsid w:val="00A66122"/>
    <w:rsid w:val="00A6646B"/>
    <w:rsid w:val="00A842F8"/>
    <w:rsid w:val="00A84D90"/>
    <w:rsid w:val="00A905DD"/>
    <w:rsid w:val="00A927D5"/>
    <w:rsid w:val="00A93DEC"/>
    <w:rsid w:val="00AA4674"/>
    <w:rsid w:val="00AB141E"/>
    <w:rsid w:val="00AB753C"/>
    <w:rsid w:val="00AD1DEA"/>
    <w:rsid w:val="00AD685A"/>
    <w:rsid w:val="00AD75DC"/>
    <w:rsid w:val="00AE0848"/>
    <w:rsid w:val="00AF5F50"/>
    <w:rsid w:val="00B045A8"/>
    <w:rsid w:val="00B2086C"/>
    <w:rsid w:val="00B27C16"/>
    <w:rsid w:val="00B3363A"/>
    <w:rsid w:val="00B660FD"/>
    <w:rsid w:val="00B74412"/>
    <w:rsid w:val="00B87F75"/>
    <w:rsid w:val="00B91992"/>
    <w:rsid w:val="00B93E3F"/>
    <w:rsid w:val="00B9624C"/>
    <w:rsid w:val="00BA7C2F"/>
    <w:rsid w:val="00BB14C9"/>
    <w:rsid w:val="00BB4685"/>
    <w:rsid w:val="00BB5B39"/>
    <w:rsid w:val="00BC5605"/>
    <w:rsid w:val="00BC6317"/>
    <w:rsid w:val="00BC6402"/>
    <w:rsid w:val="00BC7348"/>
    <w:rsid w:val="00BC7C0F"/>
    <w:rsid w:val="00BD061D"/>
    <w:rsid w:val="00BE1F70"/>
    <w:rsid w:val="00BF29DE"/>
    <w:rsid w:val="00BF331A"/>
    <w:rsid w:val="00BF57A5"/>
    <w:rsid w:val="00BF7FEE"/>
    <w:rsid w:val="00C047E0"/>
    <w:rsid w:val="00C07CF5"/>
    <w:rsid w:val="00C15C45"/>
    <w:rsid w:val="00C32BC4"/>
    <w:rsid w:val="00C339AA"/>
    <w:rsid w:val="00C3409C"/>
    <w:rsid w:val="00C34636"/>
    <w:rsid w:val="00C54F7E"/>
    <w:rsid w:val="00C602F6"/>
    <w:rsid w:val="00C61D70"/>
    <w:rsid w:val="00C61E00"/>
    <w:rsid w:val="00C62898"/>
    <w:rsid w:val="00C73F4B"/>
    <w:rsid w:val="00C84562"/>
    <w:rsid w:val="00C846D0"/>
    <w:rsid w:val="00CA116F"/>
    <w:rsid w:val="00CB20DC"/>
    <w:rsid w:val="00CC27AB"/>
    <w:rsid w:val="00CC7456"/>
    <w:rsid w:val="00CD26A7"/>
    <w:rsid w:val="00CE0FE8"/>
    <w:rsid w:val="00D03181"/>
    <w:rsid w:val="00D0341E"/>
    <w:rsid w:val="00D069E2"/>
    <w:rsid w:val="00D10A7D"/>
    <w:rsid w:val="00D16625"/>
    <w:rsid w:val="00D22BAF"/>
    <w:rsid w:val="00D35845"/>
    <w:rsid w:val="00D427EF"/>
    <w:rsid w:val="00D43C6D"/>
    <w:rsid w:val="00D5155F"/>
    <w:rsid w:val="00D546A1"/>
    <w:rsid w:val="00D54CCE"/>
    <w:rsid w:val="00D576AC"/>
    <w:rsid w:val="00D638A2"/>
    <w:rsid w:val="00D63F63"/>
    <w:rsid w:val="00D659D2"/>
    <w:rsid w:val="00D671B3"/>
    <w:rsid w:val="00D765DB"/>
    <w:rsid w:val="00D77B26"/>
    <w:rsid w:val="00D8019F"/>
    <w:rsid w:val="00D8394A"/>
    <w:rsid w:val="00D8705D"/>
    <w:rsid w:val="00D94125"/>
    <w:rsid w:val="00DA36EC"/>
    <w:rsid w:val="00DA4278"/>
    <w:rsid w:val="00DB1027"/>
    <w:rsid w:val="00DC7D3B"/>
    <w:rsid w:val="00DD2176"/>
    <w:rsid w:val="00DE1A9D"/>
    <w:rsid w:val="00E01C44"/>
    <w:rsid w:val="00E07850"/>
    <w:rsid w:val="00E1640C"/>
    <w:rsid w:val="00E56784"/>
    <w:rsid w:val="00E57BBB"/>
    <w:rsid w:val="00E6422B"/>
    <w:rsid w:val="00E773A6"/>
    <w:rsid w:val="00E835CA"/>
    <w:rsid w:val="00E87E2B"/>
    <w:rsid w:val="00E9342C"/>
    <w:rsid w:val="00E97935"/>
    <w:rsid w:val="00EA0601"/>
    <w:rsid w:val="00EA0EF4"/>
    <w:rsid w:val="00EA522B"/>
    <w:rsid w:val="00EC150E"/>
    <w:rsid w:val="00EC232E"/>
    <w:rsid w:val="00EC5C79"/>
    <w:rsid w:val="00ED490B"/>
    <w:rsid w:val="00F16250"/>
    <w:rsid w:val="00F17ECF"/>
    <w:rsid w:val="00F275DA"/>
    <w:rsid w:val="00F47401"/>
    <w:rsid w:val="00F501FA"/>
    <w:rsid w:val="00F56DEE"/>
    <w:rsid w:val="00F6123C"/>
    <w:rsid w:val="00F65019"/>
    <w:rsid w:val="00F851C2"/>
    <w:rsid w:val="00F87F7A"/>
    <w:rsid w:val="00F90289"/>
    <w:rsid w:val="00F926ED"/>
    <w:rsid w:val="00F9782E"/>
    <w:rsid w:val="00F97FDC"/>
    <w:rsid w:val="00FA0F05"/>
    <w:rsid w:val="00FB5787"/>
    <w:rsid w:val="00FC477B"/>
    <w:rsid w:val="00FC7B5F"/>
    <w:rsid w:val="00FD25C8"/>
  </w:rsids>
  <m:mathPr>
    <m:mathFont m:val="Cambria Math"/>
    <m:brkBin m:val="before"/>
    <m:brkBinSub m:val="--"/>
    <m:smallFrac/>
    <m:dispDef/>
    <m:lMargin m:val="0"/>
    <m:rMargin m:val="0"/>
    <m:defJc m:val="centerGroup"/>
    <m:wrapRight/>
    <m:intLim m:val="subSup"/>
    <m:naryLim m:val="subSup"/>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38FE3349-33B2-4844-83EA-D7FB47C2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LU" w:eastAsia="fr-LU" w:bidi="ar-SA"/>
      </w:rPr>
    </w:rPrDefault>
    <w:pPrDefault/>
  </w:docDefaults>
  <w:latentStyles w:defLockedState="0" w:defUIPriority="0" w:defSemiHidden="0" w:defUnhideWhenUsed="0" w:defQFormat="0" w:count="371">
    <w:lsdException w:name="footer" w:uiPriority="99"/>
    <w:lsdException w:name="Hyperlink" w:uiPriority="99"/>
    <w:lsdException w:name="Strong" w:uiPriority="2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BAD"/>
    <w:rPr>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2F3B"/>
    <w:pPr>
      <w:ind w:left="720"/>
      <w:contextualSpacing/>
    </w:pPr>
  </w:style>
  <w:style w:type="paragraph" w:styleId="En-tte">
    <w:name w:val="header"/>
    <w:basedOn w:val="Normal"/>
    <w:link w:val="En-tteCar"/>
    <w:uiPriority w:val="99"/>
    <w:semiHidden/>
    <w:unhideWhenUsed/>
    <w:rsid w:val="00992E5D"/>
    <w:pPr>
      <w:tabs>
        <w:tab w:val="center" w:pos="4320"/>
        <w:tab w:val="right" w:pos="8640"/>
      </w:tabs>
    </w:pPr>
    <w:rPr>
      <w:sz w:val="20"/>
      <w:szCs w:val="20"/>
      <w:lang w:eastAsia="x-none"/>
    </w:rPr>
  </w:style>
  <w:style w:type="character" w:customStyle="1" w:styleId="En-tteCar">
    <w:name w:val="En-tête Car"/>
    <w:link w:val="En-tte"/>
    <w:uiPriority w:val="99"/>
    <w:semiHidden/>
    <w:rsid w:val="00992E5D"/>
    <w:rPr>
      <w:lang w:val="de-DE"/>
    </w:rPr>
  </w:style>
  <w:style w:type="character" w:styleId="Numrodepage">
    <w:name w:val="page number"/>
    <w:basedOn w:val="Policepardfaut"/>
    <w:uiPriority w:val="99"/>
    <w:semiHidden/>
    <w:unhideWhenUsed/>
    <w:rsid w:val="00992E5D"/>
  </w:style>
  <w:style w:type="paragraph" w:styleId="Pieddepage">
    <w:name w:val="footer"/>
    <w:basedOn w:val="Normal"/>
    <w:link w:val="PieddepageCar"/>
    <w:uiPriority w:val="99"/>
    <w:unhideWhenUsed/>
    <w:rsid w:val="00AB753C"/>
    <w:pPr>
      <w:tabs>
        <w:tab w:val="center" w:pos="4320"/>
        <w:tab w:val="right" w:pos="8640"/>
      </w:tabs>
    </w:pPr>
    <w:rPr>
      <w:sz w:val="20"/>
      <w:szCs w:val="20"/>
      <w:lang w:eastAsia="x-none"/>
    </w:rPr>
  </w:style>
  <w:style w:type="character" w:customStyle="1" w:styleId="PieddepageCar">
    <w:name w:val="Pied de page Car"/>
    <w:link w:val="Pieddepage"/>
    <w:uiPriority w:val="99"/>
    <w:rsid w:val="00AB753C"/>
    <w:rPr>
      <w:lang w:val="de-DE"/>
    </w:rPr>
  </w:style>
  <w:style w:type="table" w:styleId="Grilledutableau">
    <w:name w:val="Table Grid"/>
    <w:basedOn w:val="TableauNormal"/>
    <w:uiPriority w:val="59"/>
    <w:rsid w:val="00567D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56784"/>
    <w:rPr>
      <w:rFonts w:ascii="Times New Roman" w:hAnsi="Times New Roman"/>
    </w:rPr>
  </w:style>
  <w:style w:type="paragraph" w:customStyle="1" w:styleId="Pa10">
    <w:name w:val="Pa10"/>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D576AC"/>
    <w:pPr>
      <w:autoSpaceDE w:val="0"/>
      <w:autoSpaceDN w:val="0"/>
      <w:adjustRightInd w:val="0"/>
      <w:spacing w:line="201" w:lineRule="atLeast"/>
    </w:pPr>
    <w:rPr>
      <w:rFonts w:ascii="Swis721 BT" w:eastAsia="Calibri" w:hAnsi="Swis721 BT"/>
      <w:lang w:val="fr-LU"/>
    </w:rPr>
  </w:style>
  <w:style w:type="paragraph" w:customStyle="1" w:styleId="Default">
    <w:name w:val="Default"/>
    <w:rsid w:val="00C61D70"/>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C61D70"/>
    <w:pPr>
      <w:spacing w:line="201" w:lineRule="atLeast"/>
    </w:pPr>
    <w:rPr>
      <w:rFonts w:cs="Times New Roman"/>
      <w:color w:val="auto"/>
      <w:lang w:eastAsia="en-US"/>
    </w:rPr>
  </w:style>
  <w:style w:type="paragraph" w:customStyle="1" w:styleId="Pa13">
    <w:name w:val="Pa13"/>
    <w:basedOn w:val="Default"/>
    <w:next w:val="Default"/>
    <w:uiPriority w:val="99"/>
    <w:rsid w:val="00C61D70"/>
    <w:pPr>
      <w:spacing w:line="201" w:lineRule="atLeast"/>
    </w:pPr>
    <w:rPr>
      <w:rFonts w:cs="Times New Roman"/>
      <w:color w:val="auto"/>
    </w:rPr>
  </w:style>
  <w:style w:type="paragraph" w:customStyle="1" w:styleId="Pa18">
    <w:name w:val="Pa18"/>
    <w:basedOn w:val="Default"/>
    <w:next w:val="Default"/>
    <w:uiPriority w:val="99"/>
    <w:rsid w:val="00C61D70"/>
    <w:pPr>
      <w:spacing w:line="201" w:lineRule="atLeast"/>
    </w:pPr>
    <w:rPr>
      <w:rFonts w:cs="Times New Roman"/>
      <w:color w:val="auto"/>
    </w:rPr>
  </w:style>
  <w:style w:type="paragraph" w:customStyle="1" w:styleId="Pa19">
    <w:name w:val="Pa19"/>
    <w:basedOn w:val="Default"/>
    <w:next w:val="Default"/>
    <w:uiPriority w:val="99"/>
    <w:rsid w:val="00C61D70"/>
    <w:pPr>
      <w:spacing w:line="201" w:lineRule="atLeast"/>
    </w:pPr>
    <w:rPr>
      <w:rFonts w:cs="Times New Roman"/>
      <w:color w:val="auto"/>
    </w:rPr>
  </w:style>
  <w:style w:type="paragraph" w:customStyle="1" w:styleId="Pa14">
    <w:name w:val="Pa14"/>
    <w:basedOn w:val="Default"/>
    <w:next w:val="Default"/>
    <w:uiPriority w:val="99"/>
    <w:rsid w:val="00C61D70"/>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224B03"/>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0A5BD4"/>
    <w:pPr>
      <w:spacing w:line="201" w:lineRule="atLeast"/>
    </w:pPr>
    <w:rPr>
      <w:rFonts w:cs="Times New Roman"/>
      <w:color w:val="auto"/>
    </w:rPr>
  </w:style>
  <w:style w:type="paragraph" w:customStyle="1" w:styleId="Pa21">
    <w:name w:val="Pa21"/>
    <w:basedOn w:val="Default"/>
    <w:next w:val="Default"/>
    <w:uiPriority w:val="99"/>
    <w:rsid w:val="000A5BD4"/>
    <w:pPr>
      <w:spacing w:line="201" w:lineRule="atLeast"/>
    </w:pPr>
    <w:rPr>
      <w:rFonts w:cs="Times New Roman"/>
      <w:color w:val="auto"/>
    </w:rPr>
  </w:style>
  <w:style w:type="paragraph" w:customStyle="1" w:styleId="Pa22">
    <w:name w:val="Pa22"/>
    <w:basedOn w:val="Default"/>
    <w:next w:val="Default"/>
    <w:uiPriority w:val="99"/>
    <w:rsid w:val="000A5BD4"/>
    <w:pPr>
      <w:spacing w:line="201" w:lineRule="atLeast"/>
    </w:pPr>
    <w:rPr>
      <w:rFonts w:cs="Times New Roman"/>
      <w:color w:val="auto"/>
    </w:rPr>
  </w:style>
  <w:style w:type="paragraph" w:styleId="Retraitcorpsdetexte3">
    <w:name w:val="Body Text Indent 3"/>
    <w:basedOn w:val="Normal"/>
    <w:link w:val="Retraitcorpsdetexte3Car"/>
    <w:rsid w:val="00D5155F"/>
    <w:pPr>
      <w:autoSpaceDE w:val="0"/>
      <w:autoSpaceDN w:val="0"/>
      <w:ind w:left="1701" w:firstLine="567"/>
      <w:jc w:val="both"/>
    </w:pPr>
    <w:rPr>
      <w:rFonts w:ascii="Times New Roman" w:eastAsia="Times New Roman" w:hAnsi="Times New Roman"/>
      <w:sz w:val="20"/>
      <w:szCs w:val="20"/>
      <w:lang w:val="x-none" w:eastAsia="fr-FR"/>
    </w:rPr>
  </w:style>
  <w:style w:type="character" w:customStyle="1" w:styleId="Retraitcorpsdetexte3Car">
    <w:name w:val="Retrait corps de texte 3 Car"/>
    <w:link w:val="Retraitcorpsdetexte3"/>
    <w:rsid w:val="00D5155F"/>
    <w:rPr>
      <w:rFonts w:ascii="Times New Roman" w:eastAsia="Times New Roman" w:hAnsi="Times New Roman" w:cs="Times New Roman"/>
      <w:lang w:eastAsia="fr-FR"/>
    </w:rPr>
  </w:style>
  <w:style w:type="character" w:styleId="Lienhypertexte">
    <w:name w:val="Hyperlink"/>
    <w:uiPriority w:val="99"/>
    <w:unhideWhenUsed/>
    <w:rsid w:val="00262812"/>
    <w:rPr>
      <w:color w:val="0000FF"/>
      <w:u w:val="single"/>
    </w:rPr>
  </w:style>
  <w:style w:type="character" w:customStyle="1" w:styleId="A8">
    <w:name w:val="A8"/>
    <w:uiPriority w:val="99"/>
    <w:rsid w:val="00262812"/>
    <w:rPr>
      <w:color w:val="000000"/>
      <w:sz w:val="20"/>
      <w:szCs w:val="20"/>
      <w:u w:val="single"/>
    </w:rPr>
  </w:style>
  <w:style w:type="paragraph" w:styleId="Textedebulles">
    <w:name w:val="Balloon Text"/>
    <w:basedOn w:val="Normal"/>
    <w:link w:val="TextedebullesCar"/>
    <w:rsid w:val="00EA0601"/>
    <w:rPr>
      <w:rFonts w:ascii="Tahoma" w:hAnsi="Tahoma"/>
      <w:sz w:val="16"/>
      <w:szCs w:val="16"/>
    </w:rPr>
  </w:style>
  <w:style w:type="character" w:customStyle="1" w:styleId="TextedebullesCar">
    <w:name w:val="Texte de bulles Car"/>
    <w:link w:val="Textedebulles"/>
    <w:rsid w:val="00EA0601"/>
    <w:rPr>
      <w:rFonts w:ascii="Tahoma" w:hAnsi="Tahoma" w:cs="Tahoma"/>
      <w:sz w:val="16"/>
      <w:szCs w:val="16"/>
      <w:lang w:val="de-DE" w:eastAsia="en-US"/>
    </w:rPr>
  </w:style>
  <w:style w:type="paragraph" w:customStyle="1" w:styleId="Pa12">
    <w:name w:val="Pa12"/>
    <w:basedOn w:val="Default"/>
    <w:next w:val="Default"/>
    <w:uiPriority w:val="99"/>
    <w:rsid w:val="00526604"/>
    <w:pPr>
      <w:spacing w:line="201" w:lineRule="atLeast"/>
    </w:pPr>
    <w:rPr>
      <w:rFonts w:cs="Times New Roman"/>
      <w:color w:val="auto"/>
    </w:rPr>
  </w:style>
  <w:style w:type="paragraph" w:customStyle="1" w:styleId="Pa23">
    <w:name w:val="Pa23"/>
    <w:basedOn w:val="Default"/>
    <w:next w:val="Default"/>
    <w:uiPriority w:val="99"/>
    <w:rsid w:val="00526604"/>
    <w:pPr>
      <w:spacing w:line="201" w:lineRule="atLeast"/>
    </w:pPr>
    <w:rPr>
      <w:rFonts w:cs="Times New Roman"/>
      <w:color w:val="auto"/>
    </w:rPr>
  </w:style>
  <w:style w:type="paragraph" w:customStyle="1" w:styleId="Pa25">
    <w:name w:val="Pa25"/>
    <w:basedOn w:val="Default"/>
    <w:next w:val="Default"/>
    <w:uiPriority w:val="99"/>
    <w:rsid w:val="00526604"/>
    <w:pPr>
      <w:spacing w:line="201" w:lineRule="atLeast"/>
    </w:pPr>
    <w:rPr>
      <w:rFonts w:cs="Times New Roman"/>
      <w:color w:val="auto"/>
    </w:rPr>
  </w:style>
  <w:style w:type="paragraph" w:customStyle="1" w:styleId="Pa26">
    <w:name w:val="Pa26"/>
    <w:basedOn w:val="Default"/>
    <w:next w:val="Default"/>
    <w:uiPriority w:val="99"/>
    <w:rsid w:val="00526604"/>
    <w:pPr>
      <w:spacing w:line="201" w:lineRule="atLeast"/>
    </w:pPr>
    <w:rPr>
      <w:rFonts w:cs="Times New Roman"/>
      <w:color w:val="auto"/>
    </w:rPr>
  </w:style>
  <w:style w:type="paragraph" w:customStyle="1" w:styleId="Pa27">
    <w:name w:val="Pa27"/>
    <w:basedOn w:val="Default"/>
    <w:next w:val="Default"/>
    <w:uiPriority w:val="99"/>
    <w:rsid w:val="00526604"/>
    <w:pPr>
      <w:spacing w:line="201" w:lineRule="atLeast"/>
    </w:pPr>
    <w:rPr>
      <w:rFonts w:cs="Times New Roman"/>
      <w:color w:val="auto"/>
    </w:rPr>
  </w:style>
  <w:style w:type="paragraph" w:customStyle="1" w:styleId="Pa28">
    <w:name w:val="Pa28"/>
    <w:basedOn w:val="Default"/>
    <w:next w:val="Default"/>
    <w:uiPriority w:val="99"/>
    <w:rsid w:val="00526604"/>
    <w:pPr>
      <w:spacing w:line="201" w:lineRule="atLeast"/>
    </w:pPr>
    <w:rPr>
      <w:rFonts w:cs="Times New Roman"/>
      <w:color w:val="auto"/>
    </w:rPr>
  </w:style>
  <w:style w:type="paragraph" w:styleId="Rvision">
    <w:name w:val="Revision"/>
    <w:hidden/>
    <w:rsid w:val="00BA7C2F"/>
    <w:rPr>
      <w:sz w:val="24"/>
      <w:szCs w:val="24"/>
      <w:lang w:val="de-DE" w:eastAsia="en-US"/>
    </w:rPr>
  </w:style>
  <w:style w:type="character" w:styleId="lev">
    <w:name w:val="Strong"/>
    <w:uiPriority w:val="22"/>
    <w:qFormat/>
    <w:rsid w:val="00A62E23"/>
    <w:rPr>
      <w:b/>
      <w:bCs/>
    </w:rPr>
  </w:style>
  <w:style w:type="character" w:customStyle="1" w:styleId="apple-converted-space">
    <w:name w:val="apple-converted-space"/>
    <w:rsid w:val="00A62E23"/>
  </w:style>
  <w:style w:type="character" w:styleId="Appelnotedebasdep">
    <w:name w:val="footnote reference"/>
    <w:rsid w:val="00D671B3"/>
    <w:rPr>
      <w:color w:val="000000"/>
    </w:rPr>
  </w:style>
  <w:style w:type="paragraph" w:styleId="Notedebasdepage">
    <w:name w:val="footnote text"/>
    <w:basedOn w:val="Normal"/>
    <w:next w:val="Normal"/>
    <w:link w:val="NotedebasdepageCar"/>
    <w:rsid w:val="00D671B3"/>
    <w:pPr>
      <w:autoSpaceDE w:val="0"/>
      <w:autoSpaceDN w:val="0"/>
      <w:adjustRightInd w:val="0"/>
    </w:pPr>
    <w:rPr>
      <w:rFonts w:ascii="Times New Roman" w:eastAsia="Times New Roman" w:hAnsi="Times New Roman"/>
    </w:rPr>
  </w:style>
  <w:style w:type="character" w:customStyle="1" w:styleId="NotedebasdepageCar">
    <w:name w:val="Note de bas de page Car"/>
    <w:basedOn w:val="Policepardfaut"/>
    <w:link w:val="Notedebasdepage"/>
    <w:rsid w:val="00D671B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3481">
      <w:bodyDiv w:val="1"/>
      <w:marLeft w:val="0"/>
      <w:marRight w:val="0"/>
      <w:marTop w:val="0"/>
      <w:marBottom w:val="0"/>
      <w:divBdr>
        <w:top w:val="none" w:sz="0" w:space="0" w:color="auto"/>
        <w:left w:val="none" w:sz="0" w:space="0" w:color="auto"/>
        <w:bottom w:val="none" w:sz="0" w:space="0" w:color="auto"/>
        <w:right w:val="none" w:sz="0" w:space="0" w:color="auto"/>
      </w:divBdr>
      <w:divsChild>
        <w:div w:id="1366950315">
          <w:marLeft w:val="0"/>
          <w:marRight w:val="0"/>
          <w:marTop w:val="0"/>
          <w:marBottom w:val="0"/>
          <w:divBdr>
            <w:top w:val="none" w:sz="0" w:space="0" w:color="auto"/>
            <w:left w:val="none" w:sz="0" w:space="0" w:color="auto"/>
            <w:bottom w:val="none" w:sz="0" w:space="0" w:color="auto"/>
            <w:right w:val="none" w:sz="0" w:space="0" w:color="auto"/>
          </w:divBdr>
          <w:divsChild>
            <w:div w:id="172455089">
              <w:marLeft w:val="0"/>
              <w:marRight w:val="0"/>
              <w:marTop w:val="0"/>
              <w:marBottom w:val="0"/>
              <w:divBdr>
                <w:top w:val="none" w:sz="0" w:space="0" w:color="auto"/>
                <w:left w:val="none" w:sz="0" w:space="0" w:color="auto"/>
                <w:bottom w:val="none" w:sz="0" w:space="0" w:color="auto"/>
                <w:right w:val="none" w:sz="0" w:space="0" w:color="auto"/>
              </w:divBdr>
              <w:divsChild>
                <w:div w:id="6540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3838">
      <w:bodyDiv w:val="1"/>
      <w:marLeft w:val="0"/>
      <w:marRight w:val="0"/>
      <w:marTop w:val="0"/>
      <w:marBottom w:val="0"/>
      <w:divBdr>
        <w:top w:val="none" w:sz="0" w:space="0" w:color="auto"/>
        <w:left w:val="none" w:sz="0" w:space="0" w:color="auto"/>
        <w:bottom w:val="none" w:sz="0" w:space="0" w:color="auto"/>
        <w:right w:val="none" w:sz="0" w:space="0" w:color="auto"/>
      </w:divBdr>
      <w:divsChild>
        <w:div w:id="1449395090">
          <w:marLeft w:val="0"/>
          <w:marRight w:val="0"/>
          <w:marTop w:val="0"/>
          <w:marBottom w:val="0"/>
          <w:divBdr>
            <w:top w:val="none" w:sz="0" w:space="0" w:color="auto"/>
            <w:left w:val="none" w:sz="0" w:space="0" w:color="auto"/>
            <w:bottom w:val="none" w:sz="0" w:space="0" w:color="auto"/>
            <w:right w:val="none" w:sz="0" w:space="0" w:color="auto"/>
          </w:divBdr>
          <w:divsChild>
            <w:div w:id="343754142">
              <w:marLeft w:val="0"/>
              <w:marRight w:val="0"/>
              <w:marTop w:val="0"/>
              <w:marBottom w:val="0"/>
              <w:divBdr>
                <w:top w:val="none" w:sz="0" w:space="0" w:color="auto"/>
                <w:left w:val="none" w:sz="0" w:space="0" w:color="auto"/>
                <w:bottom w:val="none" w:sz="0" w:space="0" w:color="auto"/>
                <w:right w:val="none" w:sz="0" w:space="0" w:color="auto"/>
              </w:divBdr>
              <w:divsChild>
                <w:div w:id="8928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2709">
      <w:bodyDiv w:val="1"/>
      <w:marLeft w:val="0"/>
      <w:marRight w:val="0"/>
      <w:marTop w:val="0"/>
      <w:marBottom w:val="0"/>
      <w:divBdr>
        <w:top w:val="none" w:sz="0" w:space="0" w:color="auto"/>
        <w:left w:val="none" w:sz="0" w:space="0" w:color="auto"/>
        <w:bottom w:val="none" w:sz="0" w:space="0" w:color="auto"/>
        <w:right w:val="none" w:sz="0" w:space="0" w:color="auto"/>
      </w:divBdr>
      <w:divsChild>
        <w:div w:id="60832409">
          <w:marLeft w:val="0"/>
          <w:marRight w:val="0"/>
          <w:marTop w:val="0"/>
          <w:marBottom w:val="0"/>
          <w:divBdr>
            <w:top w:val="none" w:sz="0" w:space="0" w:color="auto"/>
            <w:left w:val="none" w:sz="0" w:space="0" w:color="auto"/>
            <w:bottom w:val="none" w:sz="0" w:space="0" w:color="auto"/>
            <w:right w:val="none" w:sz="0" w:space="0" w:color="auto"/>
          </w:divBdr>
          <w:divsChild>
            <w:div w:id="1356613727">
              <w:marLeft w:val="0"/>
              <w:marRight w:val="0"/>
              <w:marTop w:val="0"/>
              <w:marBottom w:val="0"/>
              <w:divBdr>
                <w:top w:val="none" w:sz="0" w:space="0" w:color="auto"/>
                <w:left w:val="none" w:sz="0" w:space="0" w:color="auto"/>
                <w:bottom w:val="none" w:sz="0" w:space="0" w:color="auto"/>
                <w:right w:val="none" w:sz="0" w:space="0" w:color="auto"/>
              </w:divBdr>
              <w:divsChild>
                <w:div w:id="18369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2316">
      <w:bodyDiv w:val="1"/>
      <w:marLeft w:val="0"/>
      <w:marRight w:val="0"/>
      <w:marTop w:val="0"/>
      <w:marBottom w:val="0"/>
      <w:divBdr>
        <w:top w:val="none" w:sz="0" w:space="0" w:color="auto"/>
        <w:left w:val="none" w:sz="0" w:space="0" w:color="auto"/>
        <w:bottom w:val="none" w:sz="0" w:space="0" w:color="auto"/>
        <w:right w:val="none" w:sz="0" w:space="0" w:color="auto"/>
      </w:divBdr>
    </w:div>
    <w:div w:id="516120257">
      <w:bodyDiv w:val="1"/>
      <w:marLeft w:val="0"/>
      <w:marRight w:val="0"/>
      <w:marTop w:val="0"/>
      <w:marBottom w:val="0"/>
      <w:divBdr>
        <w:top w:val="none" w:sz="0" w:space="0" w:color="auto"/>
        <w:left w:val="none" w:sz="0" w:space="0" w:color="auto"/>
        <w:bottom w:val="none" w:sz="0" w:space="0" w:color="auto"/>
        <w:right w:val="none" w:sz="0" w:space="0" w:color="auto"/>
      </w:divBdr>
    </w:div>
    <w:div w:id="724986280">
      <w:bodyDiv w:val="1"/>
      <w:marLeft w:val="0"/>
      <w:marRight w:val="0"/>
      <w:marTop w:val="0"/>
      <w:marBottom w:val="0"/>
      <w:divBdr>
        <w:top w:val="none" w:sz="0" w:space="0" w:color="auto"/>
        <w:left w:val="none" w:sz="0" w:space="0" w:color="auto"/>
        <w:bottom w:val="none" w:sz="0" w:space="0" w:color="auto"/>
        <w:right w:val="none" w:sz="0" w:space="0" w:color="auto"/>
      </w:divBdr>
      <w:divsChild>
        <w:div w:id="1722829283">
          <w:marLeft w:val="0"/>
          <w:marRight w:val="0"/>
          <w:marTop w:val="0"/>
          <w:marBottom w:val="0"/>
          <w:divBdr>
            <w:top w:val="none" w:sz="0" w:space="0" w:color="auto"/>
            <w:left w:val="none" w:sz="0" w:space="0" w:color="auto"/>
            <w:bottom w:val="none" w:sz="0" w:space="0" w:color="auto"/>
            <w:right w:val="none" w:sz="0" w:space="0" w:color="auto"/>
          </w:divBdr>
          <w:divsChild>
            <w:div w:id="363672949">
              <w:marLeft w:val="0"/>
              <w:marRight w:val="0"/>
              <w:marTop w:val="0"/>
              <w:marBottom w:val="0"/>
              <w:divBdr>
                <w:top w:val="none" w:sz="0" w:space="0" w:color="auto"/>
                <w:left w:val="none" w:sz="0" w:space="0" w:color="auto"/>
                <w:bottom w:val="none" w:sz="0" w:space="0" w:color="auto"/>
                <w:right w:val="none" w:sz="0" w:space="0" w:color="auto"/>
              </w:divBdr>
              <w:divsChild>
                <w:div w:id="301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31225">
      <w:bodyDiv w:val="1"/>
      <w:marLeft w:val="0"/>
      <w:marRight w:val="0"/>
      <w:marTop w:val="0"/>
      <w:marBottom w:val="0"/>
      <w:divBdr>
        <w:top w:val="none" w:sz="0" w:space="0" w:color="auto"/>
        <w:left w:val="none" w:sz="0" w:space="0" w:color="auto"/>
        <w:bottom w:val="none" w:sz="0" w:space="0" w:color="auto"/>
        <w:right w:val="none" w:sz="0" w:space="0" w:color="auto"/>
      </w:divBdr>
    </w:div>
    <w:div w:id="1371371171">
      <w:bodyDiv w:val="1"/>
      <w:marLeft w:val="0"/>
      <w:marRight w:val="0"/>
      <w:marTop w:val="0"/>
      <w:marBottom w:val="0"/>
      <w:divBdr>
        <w:top w:val="none" w:sz="0" w:space="0" w:color="auto"/>
        <w:left w:val="none" w:sz="0" w:space="0" w:color="auto"/>
        <w:bottom w:val="none" w:sz="0" w:space="0" w:color="auto"/>
        <w:right w:val="none" w:sz="0" w:space="0" w:color="auto"/>
      </w:divBdr>
      <w:divsChild>
        <w:div w:id="538585807">
          <w:marLeft w:val="0"/>
          <w:marRight w:val="0"/>
          <w:marTop w:val="0"/>
          <w:marBottom w:val="0"/>
          <w:divBdr>
            <w:top w:val="none" w:sz="0" w:space="0" w:color="auto"/>
            <w:left w:val="none" w:sz="0" w:space="0" w:color="auto"/>
            <w:bottom w:val="none" w:sz="0" w:space="0" w:color="auto"/>
            <w:right w:val="none" w:sz="0" w:space="0" w:color="auto"/>
          </w:divBdr>
          <w:divsChild>
            <w:div w:id="366419300">
              <w:marLeft w:val="0"/>
              <w:marRight w:val="0"/>
              <w:marTop w:val="0"/>
              <w:marBottom w:val="0"/>
              <w:divBdr>
                <w:top w:val="none" w:sz="0" w:space="0" w:color="auto"/>
                <w:left w:val="none" w:sz="0" w:space="0" w:color="auto"/>
                <w:bottom w:val="none" w:sz="0" w:space="0" w:color="auto"/>
                <w:right w:val="none" w:sz="0" w:space="0" w:color="auto"/>
              </w:divBdr>
              <w:divsChild>
                <w:div w:id="9214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19451">
      <w:bodyDiv w:val="1"/>
      <w:marLeft w:val="0"/>
      <w:marRight w:val="0"/>
      <w:marTop w:val="0"/>
      <w:marBottom w:val="0"/>
      <w:divBdr>
        <w:top w:val="none" w:sz="0" w:space="0" w:color="auto"/>
        <w:left w:val="none" w:sz="0" w:space="0" w:color="auto"/>
        <w:bottom w:val="none" w:sz="0" w:space="0" w:color="auto"/>
        <w:right w:val="none" w:sz="0" w:space="0" w:color="auto"/>
      </w:divBdr>
    </w:div>
    <w:div w:id="1740589700">
      <w:bodyDiv w:val="1"/>
      <w:marLeft w:val="0"/>
      <w:marRight w:val="0"/>
      <w:marTop w:val="0"/>
      <w:marBottom w:val="0"/>
      <w:divBdr>
        <w:top w:val="none" w:sz="0" w:space="0" w:color="auto"/>
        <w:left w:val="none" w:sz="0" w:space="0" w:color="auto"/>
        <w:bottom w:val="none" w:sz="0" w:space="0" w:color="auto"/>
        <w:right w:val="none" w:sz="0" w:space="0" w:color="auto"/>
      </w:divBdr>
      <w:divsChild>
        <w:div w:id="544565635">
          <w:marLeft w:val="0"/>
          <w:marRight w:val="0"/>
          <w:marTop w:val="0"/>
          <w:marBottom w:val="0"/>
          <w:divBdr>
            <w:top w:val="none" w:sz="0" w:space="0" w:color="auto"/>
            <w:left w:val="none" w:sz="0" w:space="0" w:color="auto"/>
            <w:bottom w:val="none" w:sz="0" w:space="0" w:color="auto"/>
            <w:right w:val="none" w:sz="0" w:space="0" w:color="auto"/>
          </w:divBdr>
          <w:divsChild>
            <w:div w:id="1793672448">
              <w:marLeft w:val="0"/>
              <w:marRight w:val="0"/>
              <w:marTop w:val="0"/>
              <w:marBottom w:val="0"/>
              <w:divBdr>
                <w:top w:val="none" w:sz="0" w:space="0" w:color="auto"/>
                <w:left w:val="none" w:sz="0" w:space="0" w:color="auto"/>
                <w:bottom w:val="none" w:sz="0" w:space="0" w:color="auto"/>
                <w:right w:val="none" w:sz="0" w:space="0" w:color="auto"/>
              </w:divBdr>
              <w:divsChild>
                <w:div w:id="16785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7806">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5899</Characters>
  <Application>Microsoft Office Word</Application>
  <DocSecurity>4</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Lycée classique Diekirch</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Lammar</dc:creator>
  <cp:keywords/>
  <cp:lastModifiedBy>SYSTEM</cp:lastModifiedBy>
  <cp:revision>2</cp:revision>
  <cp:lastPrinted>2014-10-17T08:11:00Z</cp:lastPrinted>
  <dcterms:created xsi:type="dcterms:W3CDTF">2024-02-21T07:49:00Z</dcterms:created>
  <dcterms:modified xsi:type="dcterms:W3CDTF">2024-02-21T07:49:00Z</dcterms:modified>
</cp:coreProperties>
</file>