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713" w:rsidRPr="007541D8" w:rsidRDefault="00A07713" w:rsidP="00A07713">
      <w:pPr>
        <w:jc w:val="both"/>
        <w:rPr>
          <w:rFonts w:ascii="Arial" w:hAnsi="Arial" w:cs="Arial"/>
          <w:sz w:val="22"/>
          <w:szCs w:val="22"/>
        </w:rPr>
      </w:pPr>
      <w:bookmarkStart w:id="0" w:name="_GoBack"/>
      <w:bookmarkEnd w:id="0"/>
      <w:r w:rsidRPr="007541D8">
        <w:rPr>
          <w:rFonts w:ascii="Arial" w:hAnsi="Arial" w:cs="Arial"/>
          <w:sz w:val="22"/>
          <w:szCs w:val="22"/>
        </w:rPr>
        <w:t>6541</w:t>
      </w:r>
      <w:r w:rsidR="00316C99" w:rsidRPr="007541D8">
        <w:rPr>
          <w:rFonts w:ascii="Arial" w:hAnsi="Arial" w:cs="Arial"/>
          <w:sz w:val="22"/>
          <w:szCs w:val="22"/>
        </w:rPr>
        <w:t xml:space="preserve"> : </w:t>
      </w:r>
      <w:r w:rsidRPr="007541D8">
        <w:rPr>
          <w:rFonts w:ascii="Arial" w:hAnsi="Arial" w:cs="Arial"/>
          <w:sz w:val="22"/>
          <w:szCs w:val="22"/>
        </w:rPr>
        <w:t>résumé</w:t>
      </w:r>
    </w:p>
    <w:p w:rsidR="00A07713" w:rsidRPr="007541D8" w:rsidRDefault="00A07713" w:rsidP="00A07713">
      <w:pPr>
        <w:jc w:val="both"/>
        <w:rPr>
          <w:rFonts w:ascii="Arial" w:hAnsi="Arial" w:cs="Arial"/>
          <w:sz w:val="22"/>
          <w:szCs w:val="22"/>
        </w:rPr>
      </w:pPr>
    </w:p>
    <w:p w:rsidR="00316C99" w:rsidRPr="007541D8" w:rsidRDefault="00316C99" w:rsidP="00316C99">
      <w:pPr>
        <w:pStyle w:val="Pa8"/>
        <w:jc w:val="both"/>
        <w:rPr>
          <w:rFonts w:ascii="Arial" w:hAnsi="Arial" w:cs="Arial"/>
          <w:sz w:val="22"/>
          <w:szCs w:val="22"/>
          <w:lang w:val="fr-FR"/>
        </w:rPr>
      </w:pPr>
      <w:r w:rsidRPr="007541D8">
        <w:rPr>
          <w:rFonts w:ascii="Arial" w:eastAsia="Calibri" w:hAnsi="Arial" w:cs="Arial"/>
          <w:color w:val="000000"/>
          <w:sz w:val="22"/>
          <w:szCs w:val="22"/>
        </w:rPr>
        <w:t xml:space="preserve">Le projet de loi transpose en droit national la directive 2010/75/UE relative aux émissions industrielles, dénommée </w:t>
      </w:r>
      <w:r w:rsidRPr="007541D8">
        <w:rPr>
          <w:rFonts w:ascii="Arial" w:eastAsia="Calibri" w:hAnsi="Arial" w:cs="Arial"/>
          <w:i/>
          <w:iCs/>
          <w:color w:val="000000"/>
          <w:sz w:val="22"/>
          <w:szCs w:val="22"/>
        </w:rPr>
        <w:t>„</w:t>
      </w:r>
      <w:proofErr w:type="spellStart"/>
      <w:r w:rsidRPr="007541D8">
        <w:rPr>
          <w:rFonts w:ascii="Arial" w:eastAsia="Calibri" w:hAnsi="Arial" w:cs="Arial"/>
          <w:i/>
          <w:iCs/>
          <w:color w:val="000000"/>
          <w:sz w:val="22"/>
          <w:szCs w:val="22"/>
        </w:rPr>
        <w:t>Industrial</w:t>
      </w:r>
      <w:proofErr w:type="spellEnd"/>
      <w:r w:rsidRPr="007541D8">
        <w:rPr>
          <w:rFonts w:ascii="Arial" w:eastAsia="Calibri" w:hAnsi="Arial" w:cs="Arial"/>
          <w:i/>
          <w:iCs/>
          <w:color w:val="000000"/>
          <w:sz w:val="22"/>
          <w:szCs w:val="22"/>
        </w:rPr>
        <w:t xml:space="preserve"> Emissions Directive“</w:t>
      </w:r>
      <w:r w:rsidRPr="007541D8">
        <w:rPr>
          <w:rFonts w:ascii="Arial" w:eastAsia="Calibri" w:hAnsi="Arial" w:cs="Arial"/>
          <w:color w:val="000000"/>
          <w:sz w:val="22"/>
          <w:szCs w:val="22"/>
        </w:rPr>
        <w:t xml:space="preserve">, ou encore </w:t>
      </w:r>
      <w:r w:rsidRPr="007541D8">
        <w:rPr>
          <w:rFonts w:ascii="Arial" w:eastAsia="Calibri" w:hAnsi="Arial" w:cs="Arial"/>
          <w:bCs/>
          <w:color w:val="000000"/>
          <w:sz w:val="22"/>
          <w:szCs w:val="22"/>
        </w:rPr>
        <w:t>„directive IED“</w:t>
      </w:r>
      <w:r w:rsidRPr="007541D8">
        <w:rPr>
          <w:rFonts w:ascii="Arial" w:eastAsia="Calibri" w:hAnsi="Arial" w:cs="Arial"/>
          <w:color w:val="000000"/>
          <w:sz w:val="22"/>
          <w:szCs w:val="22"/>
        </w:rPr>
        <w:t xml:space="preserve">. La directive IED remplace la directive 2008/1/CE relative à la prévention et à la réduction intégrées de la pollution, connue sous le nom de „directive IPPC“. La directive IPPC avait été transposée en droit national dans le cadre de la loi modifiée du 10 juin 1999 relative aux établissements classés. Le projet de loi a donc pour double objectif de </w:t>
      </w:r>
      <w:r w:rsidRPr="007541D8">
        <w:rPr>
          <w:rFonts w:ascii="Arial" w:eastAsia="Calibri" w:hAnsi="Arial" w:cs="Arial"/>
          <w:bCs/>
          <w:color w:val="000000"/>
          <w:sz w:val="22"/>
          <w:szCs w:val="22"/>
        </w:rPr>
        <w:t>confectionner une loi à part entière relative aux émissions industrielles</w:t>
      </w:r>
      <w:r w:rsidRPr="007541D8">
        <w:rPr>
          <w:rFonts w:ascii="Arial" w:eastAsia="Calibri" w:hAnsi="Arial" w:cs="Arial"/>
          <w:color w:val="000000"/>
          <w:sz w:val="22"/>
          <w:szCs w:val="22"/>
        </w:rPr>
        <w:t xml:space="preserve"> et de </w:t>
      </w:r>
      <w:r w:rsidRPr="007541D8">
        <w:rPr>
          <w:rFonts w:ascii="Arial" w:eastAsia="Calibri" w:hAnsi="Arial" w:cs="Arial"/>
          <w:bCs/>
          <w:color w:val="000000"/>
          <w:sz w:val="22"/>
          <w:szCs w:val="22"/>
        </w:rPr>
        <w:t>modifier en conséquence plusieurs articles de la loi commodo/incommodo</w:t>
      </w:r>
      <w:r w:rsidRPr="007541D8">
        <w:rPr>
          <w:rFonts w:ascii="Arial" w:eastAsia="Calibri" w:hAnsi="Arial" w:cs="Arial"/>
          <w:color w:val="000000"/>
          <w:sz w:val="22"/>
          <w:szCs w:val="22"/>
        </w:rPr>
        <w:t>.</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Afin de prévenir, réduire et, dans la mesure du possible, éliminer la pollution due aux activités industrielles, il est nécessaire de mettre en place un cadre général régissant les principales activités industrielles, qui privilégie l’intervention à la source et la gestion prudente des ressources naturelles et tienne compte, le cas échéant, des circonstances économiques et des spécificités locales de l’endroit où se développe l’activité industrielle.</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Plusieurs approches visant à réduire de manière séparée les émissions dans l’air, dans l’eau ou dans le sol sont susceptibles de favoriser des transferts de pollution d’un milieu de l’environnement à un autre, plutôt que de protéger l’environnement dans son ensemble. Il convient donc de prévoir une approche intégrée de la prévention et de la réduction des émissions dans l’air, l’eau et le sol, de la gestion des déchets, de l’efficacité énergétique et de la prévention des accidents. Une telle approche contribuera également à créer des conditions de concurrence homogènes dans l’Union à travers l’harmonisation des exigences en matière de bilan écologique des installations industrielles.</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Afin de garantir la prévention et la réduction de la pollution, il convient que chaque installation ne puisse être exploitée que si elle a obtenu une autorisation ou, dans le cas de certaines installations et activités utilisant des solvants organiques, uniquement si elle a obtenu une autorisation ou est enregistrée.</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Il convient que l’autorisation définisse toutes les mesures nécessaires pour garantir un niveau élevé de protection de l’environnement dans son ensemble et pour garantir que l’installation est exploitée conformément aux principes généraux des obligations fondamentales de l’exploitant. Il convient également que l’autorisation fixe des valeurs limites d’émission de substances polluantes ou des paramètres ou mesures techniques équivalents, et prévoie des dispositions appropriées pour assurer la protection du sol et des eaux souterraines, ainsi que des dispositions en matière de surveillance. Il convient que les conditions d’autorisation soient définies sur la base des meilleures techniques disponibles.</w:t>
      </w:r>
    </w:p>
    <w:p w:rsidR="00316C99" w:rsidRPr="007541D8" w:rsidRDefault="00316C99" w:rsidP="00316C99">
      <w:pPr>
        <w:jc w:val="both"/>
        <w:rPr>
          <w:rFonts w:ascii="Arial" w:hAnsi="Arial" w:cs="Arial"/>
          <w:sz w:val="22"/>
          <w:szCs w:val="22"/>
        </w:rPr>
      </w:pPr>
    </w:p>
    <w:p w:rsidR="00316C99" w:rsidRPr="007541D8" w:rsidRDefault="00316C99" w:rsidP="00316C99">
      <w:pPr>
        <w:jc w:val="both"/>
        <w:rPr>
          <w:rFonts w:ascii="Arial" w:hAnsi="Arial" w:cs="Arial"/>
          <w:sz w:val="22"/>
          <w:szCs w:val="22"/>
        </w:rPr>
      </w:pPr>
      <w:r w:rsidRPr="007541D8">
        <w:rPr>
          <w:rFonts w:ascii="Arial" w:hAnsi="Arial" w:cs="Arial"/>
          <w:sz w:val="22"/>
          <w:szCs w:val="22"/>
        </w:rPr>
        <w:t xml:space="preserve">Afin de déterminer les meilleures techniques disponibles et de limiter les déséquilibres dans l’Union en ce qui concerne le niveau d’émission des activités industrielles, des documents de référence sur les meilleures techniques disponibles </w:t>
      </w:r>
      <w:r w:rsidR="007541D8" w:rsidRPr="007541D8">
        <w:rPr>
          <w:rFonts w:ascii="Arial" w:hAnsi="Arial" w:cs="Arial"/>
          <w:sz w:val="22"/>
          <w:szCs w:val="22"/>
        </w:rPr>
        <w:t>(MTD)</w:t>
      </w:r>
      <w:r w:rsidRPr="007541D8">
        <w:rPr>
          <w:rFonts w:ascii="Arial" w:hAnsi="Arial" w:cs="Arial"/>
          <w:sz w:val="22"/>
          <w:szCs w:val="22"/>
        </w:rPr>
        <w:t xml:space="preserve"> devraient être élaborés, révisés et, le cas échéant, mis à jour par le biais d’un échange d’informations entre les parties concernées et les principaux éléments des documents de référence MTD devraient être adoptés par la procédure de comité. À cet égard, il convient que la Commission adopte, par la procédure de comité, des lignes directrices sur la collecte de données, sur l’élaboration des documents de référence MTD et sur leur assurance qualité. Les conclusions sur les MTD devraient servir de référence pour fixer les conditions d’autorisation. Elles peuvent être complétées par d’autres sources. La Commission s’efforce de mettre à jour les documents de référence MTD, au plus tard huit ans après la publication de la version précédente.</w:t>
      </w:r>
    </w:p>
    <w:p w:rsidR="00316C99" w:rsidRPr="007541D8" w:rsidRDefault="00316C99" w:rsidP="00316C99">
      <w:pPr>
        <w:jc w:val="both"/>
        <w:rPr>
          <w:rFonts w:ascii="Arial" w:hAnsi="Arial" w:cs="Arial"/>
          <w:sz w:val="22"/>
          <w:szCs w:val="22"/>
        </w:rPr>
      </w:pPr>
    </w:p>
    <w:p w:rsidR="00A07713" w:rsidRPr="007541D8" w:rsidRDefault="00316C99" w:rsidP="007541D8">
      <w:pPr>
        <w:jc w:val="both"/>
        <w:rPr>
          <w:rFonts w:ascii="Arial" w:hAnsi="Arial" w:cs="Arial"/>
          <w:sz w:val="22"/>
          <w:szCs w:val="22"/>
        </w:rPr>
      </w:pPr>
      <w:r w:rsidRPr="007541D8">
        <w:rPr>
          <w:rFonts w:ascii="Arial" w:hAnsi="Arial" w:cs="Arial"/>
          <w:sz w:val="22"/>
          <w:szCs w:val="22"/>
        </w:rPr>
        <w:t xml:space="preserve">Conformément à la Convention d’Aarhus sur l’accès à l’information, la participation du public au processus décisionnel et l’accès à la justice en matière d’environnement , la participation effective du public à la prise de décisions est nécessaire pour permettre à ce dernier </w:t>
      </w:r>
      <w:r w:rsidRPr="007541D8">
        <w:rPr>
          <w:rFonts w:ascii="Arial" w:hAnsi="Arial" w:cs="Arial"/>
          <w:sz w:val="22"/>
          <w:szCs w:val="22"/>
        </w:rPr>
        <w:lastRenderedPageBreak/>
        <w:t>d’exprimer des avis et des préoccupations pouvant être utiles pour les décisions en question et au décideur de tenir compte de ces avis et préoccupations, ce qui renforce la responsabilisation des décideurs et accroît la transparence du processus décisionnel et contribue à sensibiliser le public aux problèmes d’environnement et à obtenir son adhésion aux décisions prises. Il convient que les membres du public concerné aient accès à la justice afin de pouvoir contribuer à la sauvegarde du droit de tout un chacun de vivre dans un environnement propre à assurer sa santé et son bien-être.</w:t>
      </w:r>
    </w:p>
    <w:sectPr w:rsidR="00A07713" w:rsidRPr="007541D8"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5A37"/>
    <w:multiLevelType w:val="hybridMultilevel"/>
    <w:tmpl w:val="F06C0DE6"/>
    <w:lvl w:ilvl="0" w:tplc="590E009E">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713"/>
    <w:rsid w:val="001832DD"/>
    <w:rsid w:val="00316C99"/>
    <w:rsid w:val="0056693C"/>
    <w:rsid w:val="007541D8"/>
    <w:rsid w:val="00791BC8"/>
    <w:rsid w:val="008834CA"/>
    <w:rsid w:val="009F03E8"/>
    <w:rsid w:val="00A07713"/>
    <w:rsid w:val="00C76E87"/>
    <w:rsid w:val="00E3447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21CC9C-C7AB-4E83-AEE0-22E65272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713"/>
    <w:pPr>
      <w:autoSpaceDE w:val="0"/>
      <w:autoSpaceDN w:val="0"/>
    </w:pPr>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8">
    <w:name w:val="Pa8"/>
    <w:basedOn w:val="Normal"/>
    <w:next w:val="Normal"/>
    <w:uiPriority w:val="99"/>
    <w:rsid w:val="00316C99"/>
    <w:pPr>
      <w:adjustRightInd w:val="0"/>
      <w:spacing w:line="201" w:lineRule="atLeast"/>
    </w:pPr>
    <w:rPr>
      <w:sz w:val="24"/>
      <w:szCs w:val="24"/>
      <w:lang w:val="fr-LU" w:eastAsia="fr-LU"/>
    </w:rPr>
  </w:style>
  <w:style w:type="paragraph" w:styleId="Textedebulles">
    <w:name w:val="Balloon Text"/>
    <w:basedOn w:val="Normal"/>
    <w:link w:val="TextedebullesCar"/>
    <w:uiPriority w:val="99"/>
    <w:semiHidden/>
    <w:unhideWhenUsed/>
    <w:rsid w:val="00316C99"/>
    <w:rPr>
      <w:rFonts w:ascii="Tahoma" w:hAnsi="Tahoma" w:cs="Tahoma"/>
      <w:sz w:val="16"/>
      <w:szCs w:val="16"/>
    </w:rPr>
  </w:style>
  <w:style w:type="character" w:customStyle="1" w:styleId="TextedebullesCar">
    <w:name w:val="Texte de bulles Car"/>
    <w:basedOn w:val="Policepardfaut"/>
    <w:link w:val="Textedebulles"/>
    <w:uiPriority w:val="99"/>
    <w:semiHidden/>
    <w:rsid w:val="00316C99"/>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4009</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2014-03-13T10:28:00Z</cp:lastPrinted>
  <dcterms:created xsi:type="dcterms:W3CDTF">2024-02-21T07:48:00Z</dcterms:created>
  <dcterms:modified xsi:type="dcterms:W3CDTF">2024-02-21T07:48:00Z</dcterms:modified>
</cp:coreProperties>
</file>