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2B" w:rsidRDefault="0050582B" w:rsidP="0050582B">
      <w:pPr>
        <w:jc w:val="right"/>
      </w:pPr>
      <w:bookmarkStart w:id="0" w:name="_GoBack"/>
      <w:bookmarkEnd w:id="0"/>
    </w:p>
    <w:p w:rsidR="0050582B" w:rsidRPr="00235222" w:rsidRDefault="0050582B" w:rsidP="0050582B">
      <w:pPr>
        <w:spacing w:after="120"/>
        <w:jc w:val="center"/>
        <w:rPr>
          <w:sz w:val="28"/>
          <w:szCs w:val="28"/>
        </w:rPr>
      </w:pPr>
      <w:r w:rsidRPr="00235222">
        <w:rPr>
          <w:sz w:val="28"/>
          <w:szCs w:val="28"/>
        </w:rPr>
        <w:t>N°5500</w:t>
      </w:r>
    </w:p>
    <w:p w:rsidR="0050582B" w:rsidRPr="00235222" w:rsidRDefault="0050582B" w:rsidP="0050582B">
      <w:pPr>
        <w:jc w:val="center"/>
        <w:rPr>
          <w:sz w:val="28"/>
          <w:szCs w:val="28"/>
        </w:rPr>
      </w:pPr>
      <w:r w:rsidRPr="00235222">
        <w:rPr>
          <w:sz w:val="28"/>
          <w:szCs w:val="28"/>
        </w:rPr>
        <w:t>CHAMBRE DES DEPUTES</w:t>
      </w:r>
    </w:p>
    <w:p w:rsidR="0050582B" w:rsidRDefault="0050582B" w:rsidP="0050582B">
      <w:pPr>
        <w:pBdr>
          <w:bottom w:val="thinThickSmallGap" w:sz="24" w:space="1" w:color="auto"/>
        </w:pBdr>
        <w:spacing w:after="120"/>
        <w:jc w:val="center"/>
      </w:pPr>
      <w:r>
        <w:t>Session ordinaire 2005-2006</w:t>
      </w:r>
    </w:p>
    <w:p w:rsidR="0050582B" w:rsidRDefault="0050582B" w:rsidP="0050582B">
      <w:pPr>
        <w:jc w:val="center"/>
      </w:pPr>
    </w:p>
    <w:p w:rsidR="0050582B" w:rsidRPr="0050582B" w:rsidRDefault="0050582B" w:rsidP="0050582B">
      <w:pPr>
        <w:jc w:val="center"/>
        <w:rPr>
          <w:b/>
          <w:sz w:val="32"/>
          <w:szCs w:val="32"/>
          <w:lang w:val="de-DE"/>
        </w:rPr>
      </w:pPr>
      <w:r w:rsidRPr="0050582B">
        <w:rPr>
          <w:b/>
          <w:sz w:val="32"/>
          <w:szCs w:val="32"/>
          <w:lang w:val="de-DE"/>
        </w:rPr>
        <w:t>P R O J E T   D E  L O I</w:t>
      </w:r>
    </w:p>
    <w:p w:rsidR="0050582B" w:rsidRPr="00C2303F" w:rsidRDefault="0050582B" w:rsidP="0050582B">
      <w:pPr>
        <w:jc w:val="center"/>
        <w:rPr>
          <w:b/>
        </w:rPr>
      </w:pPr>
      <w:r w:rsidRPr="00C2303F">
        <w:rPr>
          <w:b/>
        </w:rPr>
        <w:t>concernant le budget des recettes et des dépenses de l’Etat</w:t>
      </w:r>
    </w:p>
    <w:p w:rsidR="0050582B" w:rsidRPr="00C2303F" w:rsidRDefault="0050582B" w:rsidP="0050582B">
      <w:pPr>
        <w:jc w:val="center"/>
        <w:rPr>
          <w:b/>
        </w:rPr>
      </w:pPr>
      <w:r w:rsidRPr="00C2303F">
        <w:rPr>
          <w:b/>
        </w:rPr>
        <w:t>pour l’exercice 2006</w:t>
      </w:r>
    </w:p>
    <w:p w:rsidR="00D30EF0" w:rsidRDefault="00D30EF0" w:rsidP="00D30EF0">
      <w:pPr>
        <w:pStyle w:val="Style1"/>
        <w:rPr>
          <w:lang w:val="fr-FR"/>
        </w:rPr>
      </w:pPr>
    </w:p>
    <w:p w:rsidR="00D30EF0" w:rsidRDefault="00D30EF0" w:rsidP="00D30EF0">
      <w:pPr>
        <w:pStyle w:val="Style1"/>
        <w:rPr>
          <w:lang w:val="fr-FR"/>
        </w:rPr>
      </w:pPr>
    </w:p>
    <w:p w:rsidR="00D30EF0" w:rsidRDefault="00D30EF0" w:rsidP="00D30EF0">
      <w:pPr>
        <w:pStyle w:val="Style1"/>
        <w:rPr>
          <w:lang w:val="fr-FR"/>
        </w:rPr>
      </w:pPr>
    </w:p>
    <w:p w:rsidR="00D30EF0" w:rsidRDefault="00AE0EFA" w:rsidP="00D30EF0">
      <w:pPr>
        <w:pStyle w:val="Style1"/>
        <w:rPr>
          <w:lang w:val="fr-FR"/>
        </w:rPr>
      </w:pPr>
      <w:r>
        <w:rPr>
          <w:lang w:val="fr-FR"/>
        </w:rPr>
        <w:t xml:space="preserve">Le projet de budget pour 2006 se caractérise par les chiffres essentiels </w:t>
      </w:r>
      <w:r w:rsidR="003E0732">
        <w:rPr>
          <w:lang w:val="fr-FR"/>
        </w:rPr>
        <w:t>ci-après</w:t>
      </w:r>
      <w:r>
        <w:rPr>
          <w:lang w:val="fr-FR"/>
        </w:rPr>
        <w:t> :</w:t>
      </w:r>
    </w:p>
    <w:p w:rsidR="00AE0EFA" w:rsidRPr="00B53E51" w:rsidRDefault="00AE0EFA" w:rsidP="00D30EF0">
      <w:pPr>
        <w:pStyle w:val="Style1"/>
        <w:rPr>
          <w:lang w:val="fr-FR"/>
        </w:rPr>
      </w:pPr>
    </w:p>
    <w:p w:rsidR="00D30EF0" w:rsidRPr="00B53E51" w:rsidRDefault="00D30EF0" w:rsidP="00D30EF0">
      <w:pPr>
        <w:pStyle w:val="Style1"/>
        <w:rPr>
          <w:lang w:val="fr-FR"/>
        </w:rPr>
      </w:pPr>
    </w:p>
    <w:tbl>
      <w:tblPr>
        <w:tblW w:w="7576" w:type="dxa"/>
        <w:tblInd w:w="103" w:type="dxa"/>
        <w:tblLook w:val="0000" w:firstRow="0" w:lastRow="0" w:firstColumn="0" w:lastColumn="0" w:noHBand="0" w:noVBand="0"/>
      </w:tblPr>
      <w:tblGrid>
        <w:gridCol w:w="2645"/>
        <w:gridCol w:w="1320"/>
        <w:gridCol w:w="1320"/>
        <w:gridCol w:w="1320"/>
        <w:gridCol w:w="971"/>
      </w:tblGrid>
      <w:tr w:rsidR="00D30EF0" w:rsidRPr="00B53E51">
        <w:trPr>
          <w:trHeight w:val="480"/>
        </w:trPr>
        <w:tc>
          <w:tcPr>
            <w:tcW w:w="2645" w:type="dxa"/>
            <w:tcBorders>
              <w:top w:val="single" w:sz="4" w:space="0" w:color="auto"/>
              <w:left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Budget définitif</w:t>
            </w:r>
          </w:p>
        </w:tc>
        <w:tc>
          <w:tcPr>
            <w:tcW w:w="1320" w:type="dxa"/>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Projet de budget</w:t>
            </w:r>
          </w:p>
        </w:tc>
        <w:tc>
          <w:tcPr>
            <w:tcW w:w="2291" w:type="dxa"/>
            <w:gridSpan w:val="2"/>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 xml:space="preserve">Variation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(en milliers d’euros)</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2005</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2006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en euros</w:t>
            </w: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en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b/>
                <w:sz w:val="18"/>
                <w:szCs w:val="22"/>
              </w:rPr>
            </w:pPr>
            <w:r w:rsidRPr="00B53E51">
              <w:rPr>
                <w:rFonts w:cs="Tahoma"/>
                <w:b/>
                <w:sz w:val="18"/>
                <w:szCs w:val="22"/>
              </w:rPr>
              <w:t>Budget courant</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Recettes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6 828 678,0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7 223 692,0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395 014,0</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+5,78%</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Dépenses</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6 303 056,0</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6 852 208,6</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549 152,6</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+8,71%</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 xml:space="preserve">Solde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525 622,0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371 483,4</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-154 138,6</w:t>
            </w:r>
          </w:p>
        </w:tc>
        <w:tc>
          <w:tcPr>
            <w:tcW w:w="971"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center"/>
              <w:rPr>
                <w:rFonts w:cs="Tahoma"/>
                <w:sz w:val="18"/>
                <w:szCs w:val="22"/>
              </w:rPr>
            </w:pPr>
            <w:r w:rsidRPr="00B53E51">
              <w:rPr>
                <w:rFonts w:cs="Tahoma"/>
                <w:sz w:val="18"/>
                <w:szCs w:val="22"/>
              </w:rPr>
              <w:t>. .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b/>
                <w:sz w:val="18"/>
                <w:szCs w:val="22"/>
              </w:rPr>
            </w:pPr>
            <w:r w:rsidRPr="00B53E51">
              <w:rPr>
                <w:rFonts w:cs="Tahoma"/>
                <w:b/>
                <w:sz w:val="18"/>
                <w:szCs w:val="22"/>
              </w:rPr>
              <w:t>Budget en capital</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Recettes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73 789,0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104 342,8</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30 553,8</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+41,41%</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Dépenses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706 124,0</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777 121,6</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70 997,6</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+10,05%</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 xml:space="preserve">Solde </w:t>
            </w:r>
          </w:p>
        </w:tc>
        <w:tc>
          <w:tcPr>
            <w:tcW w:w="1320"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-632 335,0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-672 778,8</w:t>
            </w:r>
          </w:p>
        </w:tc>
        <w:tc>
          <w:tcPr>
            <w:tcW w:w="1320"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-40 443,8</w:t>
            </w:r>
          </w:p>
        </w:tc>
        <w:tc>
          <w:tcPr>
            <w:tcW w:w="971"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center"/>
              <w:rPr>
                <w:rFonts w:cs="Tahoma"/>
                <w:sz w:val="18"/>
                <w:szCs w:val="22"/>
              </w:rPr>
            </w:pPr>
            <w:r w:rsidRPr="00B53E51">
              <w:rPr>
                <w:rFonts w:cs="Tahoma"/>
                <w:sz w:val="18"/>
                <w:szCs w:val="22"/>
              </w:rPr>
              <w:t>. .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b/>
                <w:sz w:val="18"/>
                <w:szCs w:val="22"/>
              </w:rPr>
            </w:pPr>
            <w:r w:rsidRPr="00B53E51">
              <w:rPr>
                <w:rFonts w:cs="Tahoma"/>
                <w:b/>
                <w:sz w:val="18"/>
                <w:szCs w:val="22"/>
              </w:rPr>
              <w:t>Budget total</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Recettes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6 902 467,0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7 328 034,8</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425 567,8</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+6,17%</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Dépenses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7 009 180,0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7 629 330,2</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620 150,2</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+8,85%</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Solde</w:t>
            </w:r>
          </w:p>
        </w:tc>
        <w:tc>
          <w:tcPr>
            <w:tcW w:w="1320" w:type="dxa"/>
            <w:tcBorders>
              <w:top w:val="single" w:sz="4" w:space="0" w:color="auto"/>
              <w:left w:val="nil"/>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-106 713,0</w:t>
            </w:r>
          </w:p>
        </w:tc>
        <w:tc>
          <w:tcPr>
            <w:tcW w:w="1320" w:type="dxa"/>
            <w:tcBorders>
              <w:top w:val="single" w:sz="4" w:space="0" w:color="auto"/>
              <w:left w:val="nil"/>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-301 295,4</w:t>
            </w:r>
          </w:p>
        </w:tc>
        <w:tc>
          <w:tcPr>
            <w:tcW w:w="1320" w:type="dxa"/>
            <w:tcBorders>
              <w:top w:val="single" w:sz="4" w:space="0" w:color="auto"/>
              <w:left w:val="nil"/>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-194 582,4</w:t>
            </w:r>
          </w:p>
        </w:tc>
        <w:tc>
          <w:tcPr>
            <w:tcW w:w="971" w:type="dxa"/>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 .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center"/>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D30EF0" w:rsidRPr="00B53E51" w:rsidRDefault="00D30EF0" w:rsidP="005E31F7">
            <w:pPr>
              <w:jc w:val="center"/>
              <w:rPr>
                <w:rFonts w:cs="Tahoma"/>
                <w:sz w:val="18"/>
                <w:szCs w:val="22"/>
              </w:rPr>
            </w:pPr>
            <w:r w:rsidRPr="00B53E51">
              <w:rPr>
                <w:rFonts w:cs="Tahoma"/>
                <w:sz w:val="18"/>
                <w:szCs w:val="22"/>
              </w:rPr>
              <w:t> </w:t>
            </w:r>
          </w:p>
        </w:tc>
        <w:tc>
          <w:tcPr>
            <w:tcW w:w="971" w:type="dxa"/>
            <w:tcBorders>
              <w:top w:val="nil"/>
              <w:left w:val="nil"/>
              <w:bottom w:val="single" w:sz="4" w:space="0" w:color="auto"/>
              <w:right w:val="single" w:sz="4" w:space="0" w:color="auto"/>
            </w:tcBorders>
            <w:shd w:val="clear" w:color="auto" w:fill="auto"/>
            <w:vAlign w:val="center"/>
          </w:tcPr>
          <w:p w:rsidR="00D30EF0" w:rsidRPr="00B53E51" w:rsidRDefault="00D30EF0" w:rsidP="005E31F7">
            <w:pPr>
              <w:jc w:val="center"/>
              <w:rPr>
                <w:rFonts w:cs="Tahoma"/>
                <w:sz w:val="18"/>
                <w:szCs w:val="22"/>
              </w:rPr>
            </w:pPr>
            <w:r w:rsidRPr="00B53E51">
              <w:rPr>
                <w:rFonts w:cs="Tahoma"/>
                <w:sz w:val="18"/>
                <w:szCs w:val="22"/>
              </w:rPr>
              <w:t> </w:t>
            </w:r>
          </w:p>
        </w:tc>
      </w:tr>
    </w:tbl>
    <w:p w:rsidR="00D30EF0" w:rsidRDefault="00D30EF0" w:rsidP="00D30EF0">
      <w:pPr>
        <w:pStyle w:val="Style1"/>
        <w:rPr>
          <w:sz w:val="20"/>
          <w:szCs w:val="20"/>
          <w:lang w:val="fr-FR"/>
        </w:rPr>
      </w:pPr>
      <w:r w:rsidRPr="00B53E51">
        <w:rPr>
          <w:sz w:val="20"/>
          <w:szCs w:val="20"/>
          <w:lang w:val="fr-FR"/>
        </w:rPr>
        <w:tab/>
        <w:t>Source : Données IGF</w:t>
      </w:r>
    </w:p>
    <w:p w:rsidR="00AE0EFA" w:rsidRDefault="00AE0EFA" w:rsidP="00AE0EFA">
      <w:pPr>
        <w:pStyle w:val="Style1"/>
        <w:rPr>
          <w:lang w:val="fr-FR"/>
        </w:rPr>
      </w:pPr>
    </w:p>
    <w:p w:rsidR="00AE0EFA" w:rsidRDefault="00AE0EFA" w:rsidP="00AE0EFA">
      <w:pPr>
        <w:pStyle w:val="Style1"/>
        <w:rPr>
          <w:lang w:val="fr-FR"/>
        </w:rPr>
      </w:pPr>
      <w:r w:rsidRPr="00B53E51">
        <w:rPr>
          <w:lang w:val="fr-FR"/>
        </w:rPr>
        <w:t xml:space="preserve">Alors que le projet de loi concernant le budget des recettes et des dépenses de l’Etat pour l’exercice 2005 avait prévu que les recettes courantes projetées pour 2005 accuseraient une progression de 9,39%, les prévisions pour l’exercice 2006 s’avèrent plus modestes. </w:t>
      </w:r>
    </w:p>
    <w:p w:rsidR="00AE0EFA" w:rsidRDefault="00AE0EFA" w:rsidP="00AE0EFA">
      <w:pPr>
        <w:pStyle w:val="Style1"/>
        <w:rPr>
          <w:lang w:val="fr-FR"/>
        </w:rPr>
      </w:pPr>
    </w:p>
    <w:p w:rsidR="00AE0EFA" w:rsidRPr="00B53E51" w:rsidRDefault="00AE0EFA" w:rsidP="00AE0EFA">
      <w:pPr>
        <w:pStyle w:val="Style1"/>
        <w:rPr>
          <w:lang w:val="fr-FR"/>
        </w:rPr>
      </w:pPr>
      <w:r w:rsidRPr="00B53E51">
        <w:rPr>
          <w:lang w:val="fr-FR"/>
        </w:rPr>
        <w:t>Le projet de budget table ainsi sur une croissance des recettes courantes de 5,78%. En faisant abstraction de certains éléments exceptionnels, notamment au niveau des recettes en capital, l’évolution du total des recettes entre 2005 et 2006 s’établirait à quelque 3%.</w:t>
      </w:r>
    </w:p>
    <w:p w:rsidR="00AE0EFA" w:rsidRDefault="00AE0EFA" w:rsidP="00AE0EFA">
      <w:pPr>
        <w:pStyle w:val="Style1"/>
        <w:rPr>
          <w:lang w:val="fr-FR"/>
        </w:rPr>
      </w:pPr>
    </w:p>
    <w:p w:rsidR="00AE0EFA" w:rsidRDefault="00AE0EFA" w:rsidP="00AE0EFA">
      <w:pPr>
        <w:pStyle w:val="Style1"/>
        <w:rPr>
          <w:lang w:val="fr-FR"/>
        </w:rPr>
      </w:pPr>
      <w:r w:rsidRPr="00B53E51">
        <w:rPr>
          <w:lang w:val="fr-FR"/>
        </w:rPr>
        <w:t xml:space="preserve">Le projet de budget 2006 se caractérise par ailleurs par une hausse importante des dépenses prévues. Les dépenses courantes devraient progresser de 8,71% et les dépenses en capital de 10,05%. En chiffres, il s’agit d’une augmentation de quelque 620 millions d’euros par rapport au budget définitif 2005 et de 740 millions d’euros par rapport au compte général provisoire de 2004. D’après les prévisions budgétaires pour </w:t>
      </w:r>
      <w:r w:rsidRPr="00B53E51">
        <w:rPr>
          <w:lang w:val="fr-FR"/>
        </w:rPr>
        <w:lastRenderedPageBreak/>
        <w:t>2006, les dépenses totales dépasseront ainsi les recettes totales de quelque 300 millions d’euros, ce qui entraînerait un déficit budgétaire de 4,1% (Administrat</w:t>
      </w:r>
      <w:r>
        <w:rPr>
          <w:lang w:val="fr-FR"/>
        </w:rPr>
        <w:t>ion centrale).</w:t>
      </w:r>
    </w:p>
    <w:p w:rsidR="00D30EF0" w:rsidRDefault="00D30EF0" w:rsidP="00D30EF0">
      <w:pPr>
        <w:pStyle w:val="Style1"/>
        <w:rPr>
          <w:sz w:val="20"/>
          <w:szCs w:val="20"/>
          <w:lang w:val="fr-FR"/>
        </w:rPr>
      </w:pPr>
    </w:p>
    <w:p w:rsidR="00D30EF0" w:rsidRDefault="00D30EF0" w:rsidP="00D30EF0">
      <w:pPr>
        <w:jc w:val="both"/>
        <w:rPr>
          <w:rFonts w:ascii="Tahoma" w:hAnsi="Tahoma" w:cs="Tahoma"/>
          <w:sz w:val="22"/>
          <w:szCs w:val="22"/>
        </w:rPr>
      </w:pPr>
      <w:r w:rsidRPr="00D30EF0">
        <w:rPr>
          <w:rFonts w:ascii="Tahoma" w:hAnsi="Tahoma" w:cs="Tahoma"/>
          <w:sz w:val="22"/>
          <w:szCs w:val="22"/>
        </w:rPr>
        <w:t>Au cours des années écoulées, les évolutions au niveau de la structure des dépenses de l’Etat ont</w:t>
      </w:r>
      <w:r>
        <w:rPr>
          <w:rFonts w:ascii="Tahoma" w:hAnsi="Tahoma" w:cs="Tahoma"/>
          <w:sz w:val="22"/>
          <w:szCs w:val="22"/>
        </w:rPr>
        <w:t xml:space="preserve"> </w:t>
      </w:r>
      <w:r w:rsidRPr="00D30EF0">
        <w:rPr>
          <w:rFonts w:ascii="Tahoma" w:hAnsi="Tahoma" w:cs="Tahoma"/>
          <w:sz w:val="22"/>
          <w:szCs w:val="22"/>
        </w:rPr>
        <w:t>abouti à un accroissement sensible de la rigidité budgétaire et dès lors également à une réduction des</w:t>
      </w:r>
      <w:r>
        <w:rPr>
          <w:rFonts w:ascii="Tahoma" w:hAnsi="Tahoma" w:cs="Tahoma"/>
          <w:sz w:val="22"/>
          <w:szCs w:val="22"/>
        </w:rPr>
        <w:t xml:space="preserve"> </w:t>
      </w:r>
      <w:r w:rsidRPr="00D30EF0">
        <w:rPr>
          <w:rFonts w:ascii="Tahoma" w:hAnsi="Tahoma" w:cs="Tahoma"/>
          <w:sz w:val="22"/>
          <w:szCs w:val="22"/>
        </w:rPr>
        <w:t>marges de manœuvre dont dispose le Gouvernement pour mener son action politique. Une proportion</w:t>
      </w:r>
      <w:r>
        <w:rPr>
          <w:rFonts w:ascii="Tahoma" w:hAnsi="Tahoma" w:cs="Tahoma"/>
          <w:sz w:val="22"/>
          <w:szCs w:val="22"/>
        </w:rPr>
        <w:t xml:space="preserve"> </w:t>
      </w:r>
      <w:r w:rsidRPr="00D30EF0">
        <w:rPr>
          <w:rFonts w:ascii="Tahoma" w:hAnsi="Tahoma" w:cs="Tahoma"/>
          <w:sz w:val="22"/>
          <w:szCs w:val="22"/>
        </w:rPr>
        <w:t>de plus en plus élevée des dépenses publiques est en effet fixée par ou en vertu de dispositions légales,</w:t>
      </w:r>
      <w:r>
        <w:rPr>
          <w:rFonts w:ascii="Tahoma" w:hAnsi="Tahoma" w:cs="Tahoma"/>
          <w:sz w:val="22"/>
          <w:szCs w:val="22"/>
        </w:rPr>
        <w:t xml:space="preserve"> </w:t>
      </w:r>
      <w:r w:rsidRPr="00D30EF0">
        <w:rPr>
          <w:rFonts w:ascii="Tahoma" w:hAnsi="Tahoma" w:cs="Tahoma"/>
          <w:sz w:val="22"/>
          <w:szCs w:val="22"/>
        </w:rPr>
        <w:t>réglementaires et conventionnelles.</w:t>
      </w:r>
    </w:p>
    <w:p w:rsidR="00D30EF0" w:rsidRPr="00D30EF0" w:rsidRDefault="00D30EF0" w:rsidP="00D30EF0">
      <w:pPr>
        <w:jc w:val="both"/>
        <w:rPr>
          <w:rFonts w:ascii="Tahoma" w:hAnsi="Tahoma" w:cs="Tahoma"/>
          <w:sz w:val="22"/>
          <w:szCs w:val="22"/>
        </w:rPr>
      </w:pPr>
    </w:p>
    <w:p w:rsidR="00D30EF0" w:rsidRPr="00D30EF0" w:rsidRDefault="00D30EF0" w:rsidP="00D30EF0">
      <w:pPr>
        <w:jc w:val="both"/>
        <w:rPr>
          <w:rFonts w:ascii="Tahoma" w:hAnsi="Tahoma" w:cs="Tahoma"/>
          <w:sz w:val="22"/>
          <w:szCs w:val="22"/>
        </w:rPr>
      </w:pPr>
      <w:r w:rsidRPr="00D30EF0">
        <w:rPr>
          <w:rFonts w:ascii="Tahoma" w:hAnsi="Tahoma" w:cs="Tahoma"/>
          <w:sz w:val="22"/>
          <w:szCs w:val="22"/>
        </w:rPr>
        <w:t>La rigidité découlant du caractère obligatoire et difficilement compressible de la plupart de ces</w:t>
      </w:r>
      <w:r>
        <w:rPr>
          <w:rFonts w:ascii="Tahoma" w:hAnsi="Tahoma" w:cs="Tahoma"/>
          <w:sz w:val="22"/>
          <w:szCs w:val="22"/>
        </w:rPr>
        <w:t xml:space="preserve"> </w:t>
      </w:r>
      <w:r w:rsidRPr="00D30EF0">
        <w:rPr>
          <w:rFonts w:ascii="Tahoma" w:hAnsi="Tahoma" w:cs="Tahoma"/>
          <w:sz w:val="22"/>
          <w:szCs w:val="22"/>
        </w:rPr>
        <w:t>dépenses est encore accentuée par la dynamique inhérente à leur évolution. D’une part, le volume de</w:t>
      </w:r>
      <w:r>
        <w:rPr>
          <w:rFonts w:ascii="Tahoma" w:hAnsi="Tahoma" w:cs="Tahoma"/>
          <w:sz w:val="22"/>
          <w:szCs w:val="22"/>
        </w:rPr>
        <w:t xml:space="preserve"> </w:t>
      </w:r>
      <w:r w:rsidRPr="00D30EF0">
        <w:rPr>
          <w:rFonts w:ascii="Tahoma" w:hAnsi="Tahoma" w:cs="Tahoma"/>
          <w:sz w:val="22"/>
          <w:szCs w:val="22"/>
        </w:rPr>
        <w:t>ces dépenses est animé d’un mouvement ascendant qui découle directement ou indirectement de leurs</w:t>
      </w:r>
      <w:r>
        <w:rPr>
          <w:rFonts w:ascii="Tahoma" w:hAnsi="Tahoma" w:cs="Tahoma"/>
          <w:sz w:val="22"/>
          <w:szCs w:val="22"/>
        </w:rPr>
        <w:t xml:space="preserve"> </w:t>
      </w:r>
      <w:r w:rsidRPr="00D30EF0">
        <w:rPr>
          <w:rFonts w:ascii="Tahoma" w:hAnsi="Tahoma" w:cs="Tahoma"/>
          <w:sz w:val="22"/>
          <w:szCs w:val="22"/>
        </w:rPr>
        <w:t>facteurs d’évolution respectifs. D’autre part, cette croissance réelle des dépenses publiques est</w:t>
      </w:r>
      <w:r>
        <w:rPr>
          <w:rFonts w:ascii="Tahoma" w:hAnsi="Tahoma" w:cs="Tahoma"/>
          <w:sz w:val="22"/>
          <w:szCs w:val="22"/>
        </w:rPr>
        <w:t xml:space="preserve"> </w:t>
      </w:r>
      <w:r w:rsidRPr="00D30EF0">
        <w:rPr>
          <w:rFonts w:ascii="Tahoma" w:hAnsi="Tahoma" w:cs="Tahoma"/>
          <w:sz w:val="22"/>
          <w:szCs w:val="22"/>
        </w:rPr>
        <w:t>renforcée par le fait qu’environ les deux tiers des dépenses courantes du budget de l’Etat sont liées</w:t>
      </w:r>
      <w:r>
        <w:rPr>
          <w:rFonts w:ascii="Tahoma" w:hAnsi="Tahoma" w:cs="Tahoma"/>
          <w:sz w:val="22"/>
          <w:szCs w:val="22"/>
        </w:rPr>
        <w:t xml:space="preserve"> </w:t>
      </w:r>
      <w:r w:rsidRPr="00D30EF0">
        <w:rPr>
          <w:rFonts w:ascii="Tahoma" w:hAnsi="Tahoma" w:cs="Tahoma"/>
          <w:sz w:val="22"/>
          <w:szCs w:val="22"/>
        </w:rPr>
        <w:t>directement, par le biais de l’échelle mobile des salaires, à l’évolution de l’indice des prix à la</w:t>
      </w:r>
      <w:r>
        <w:rPr>
          <w:rFonts w:ascii="Tahoma" w:hAnsi="Tahoma" w:cs="Tahoma"/>
          <w:sz w:val="22"/>
          <w:szCs w:val="22"/>
        </w:rPr>
        <w:t xml:space="preserve"> </w:t>
      </w:r>
      <w:r w:rsidRPr="00D30EF0">
        <w:rPr>
          <w:rFonts w:ascii="Tahoma" w:hAnsi="Tahoma" w:cs="Tahoma"/>
          <w:sz w:val="22"/>
          <w:szCs w:val="22"/>
        </w:rPr>
        <w:t>consommation.</w:t>
      </w:r>
    </w:p>
    <w:p w:rsidR="00D30EF0" w:rsidRDefault="00D30EF0" w:rsidP="00D30EF0">
      <w:pPr>
        <w:rPr>
          <w:rFonts w:ascii="Tahoma" w:hAnsi="Tahoma" w:cs="Tahoma"/>
          <w:sz w:val="22"/>
          <w:szCs w:val="22"/>
        </w:rPr>
      </w:pPr>
    </w:p>
    <w:p w:rsidR="00D30EF0" w:rsidRPr="00D30EF0" w:rsidRDefault="00D30EF0" w:rsidP="00D30EF0">
      <w:pPr>
        <w:jc w:val="both"/>
        <w:rPr>
          <w:rFonts w:ascii="Tahoma" w:hAnsi="Tahoma" w:cs="Tahoma"/>
          <w:sz w:val="22"/>
          <w:szCs w:val="22"/>
        </w:rPr>
      </w:pPr>
      <w:r w:rsidRPr="00D30EF0">
        <w:rPr>
          <w:rFonts w:ascii="Tahoma" w:hAnsi="Tahoma" w:cs="Tahoma"/>
          <w:sz w:val="22"/>
          <w:szCs w:val="22"/>
        </w:rPr>
        <w:t>Le tableau ci-après présente les postes de dépenses qui affichent les variations les plus</w:t>
      </w:r>
    </w:p>
    <w:p w:rsidR="00D30EF0" w:rsidRDefault="00D30EF0" w:rsidP="00D30EF0">
      <w:pPr>
        <w:jc w:val="both"/>
        <w:rPr>
          <w:rFonts w:ascii="Tahoma" w:hAnsi="Tahoma" w:cs="Tahoma"/>
          <w:sz w:val="22"/>
          <w:szCs w:val="22"/>
        </w:rPr>
      </w:pPr>
      <w:r w:rsidRPr="00D30EF0">
        <w:rPr>
          <w:rFonts w:ascii="Tahoma" w:hAnsi="Tahoma" w:cs="Tahoma"/>
          <w:sz w:val="22"/>
          <w:szCs w:val="22"/>
        </w:rPr>
        <w:t>significatives entre 2005 et 2006:</w:t>
      </w:r>
    </w:p>
    <w:p w:rsidR="00D30EF0" w:rsidRPr="00D30EF0" w:rsidRDefault="00D30EF0" w:rsidP="00D30EF0">
      <w:pPr>
        <w:rPr>
          <w:rFonts w:ascii="Tahoma" w:hAnsi="Tahoma" w:cs="Tahoma"/>
          <w:sz w:val="22"/>
          <w:szCs w:val="22"/>
        </w:rPr>
      </w:pPr>
    </w:p>
    <w:p w:rsidR="00D30EF0" w:rsidRPr="00D30EF0" w:rsidRDefault="00D30EF0" w:rsidP="00D30EF0">
      <w:pPr>
        <w:rPr>
          <w:rFonts w:ascii="Tahoma" w:hAnsi="Tahoma" w:cs="Tahoma"/>
          <w:sz w:val="20"/>
        </w:rPr>
      </w:pPr>
      <w:r w:rsidRPr="00D30EF0">
        <w:rPr>
          <w:rFonts w:ascii="Tahoma" w:hAnsi="Tahoma" w:cs="Tahoma"/>
          <w:sz w:val="20"/>
        </w:rPr>
        <w:t>- Participation dans le financement de l’assurance-pension</w:t>
      </w:r>
    </w:p>
    <w:p w:rsidR="00D30EF0" w:rsidRPr="00D30EF0" w:rsidRDefault="00D30EF0" w:rsidP="00D30EF0">
      <w:pPr>
        <w:rPr>
          <w:rFonts w:ascii="Tahoma" w:hAnsi="Tahoma" w:cs="Tahoma"/>
          <w:sz w:val="20"/>
        </w:rPr>
      </w:pPr>
      <w:r>
        <w:rPr>
          <w:rFonts w:ascii="Tahoma" w:hAnsi="Tahoma" w:cs="Tahoma"/>
          <w:sz w:val="20"/>
        </w:rPr>
        <w:t xml:space="preserve">  </w:t>
      </w:r>
      <w:r w:rsidRPr="00D30EF0">
        <w:rPr>
          <w:rFonts w:ascii="Tahoma" w:hAnsi="Tahoma" w:cs="Tahoma"/>
          <w:sz w:val="20"/>
        </w:rPr>
        <w:t>(régime contributif) . . . . . . . . . . . . . . . . . . . . . . . . . . . . . . . . . . . . . . . . . + 72,8 millions</w:t>
      </w:r>
    </w:p>
    <w:p w:rsidR="00D30EF0" w:rsidRPr="00D30EF0" w:rsidRDefault="00D30EF0" w:rsidP="00D30EF0">
      <w:pPr>
        <w:rPr>
          <w:rFonts w:ascii="Tahoma" w:hAnsi="Tahoma" w:cs="Tahoma"/>
          <w:sz w:val="20"/>
        </w:rPr>
      </w:pPr>
      <w:r w:rsidRPr="00D30EF0">
        <w:rPr>
          <w:rFonts w:ascii="Tahoma" w:hAnsi="Tahoma" w:cs="Tahoma"/>
          <w:sz w:val="20"/>
        </w:rPr>
        <w:t xml:space="preserve">- Participation dans le financement de l’assurance-maladie . . . . . . . . . . </w:t>
      </w:r>
      <w:r>
        <w:rPr>
          <w:rFonts w:ascii="Tahoma" w:hAnsi="Tahoma" w:cs="Tahoma"/>
          <w:sz w:val="20"/>
        </w:rPr>
        <w:t xml:space="preserve">        </w:t>
      </w:r>
      <w:r w:rsidRPr="00D30EF0">
        <w:rPr>
          <w:rFonts w:ascii="Tahoma" w:hAnsi="Tahoma" w:cs="Tahoma"/>
          <w:sz w:val="20"/>
        </w:rPr>
        <w:t>+ 64,8 millions</w:t>
      </w:r>
    </w:p>
    <w:p w:rsidR="00D30EF0" w:rsidRPr="00D30EF0" w:rsidRDefault="00D30EF0" w:rsidP="00D30EF0">
      <w:pPr>
        <w:rPr>
          <w:rFonts w:ascii="Tahoma" w:hAnsi="Tahoma" w:cs="Tahoma"/>
          <w:sz w:val="20"/>
        </w:rPr>
      </w:pPr>
      <w:r w:rsidRPr="00D30EF0">
        <w:rPr>
          <w:rFonts w:ascii="Tahoma" w:hAnsi="Tahoma" w:cs="Tahoma"/>
          <w:sz w:val="20"/>
        </w:rPr>
        <w:t xml:space="preserve">- Participation des communes dans le produit de certains impôts de l’Etat </w:t>
      </w:r>
      <w:r>
        <w:rPr>
          <w:rFonts w:ascii="Tahoma" w:hAnsi="Tahoma" w:cs="Tahoma"/>
          <w:sz w:val="20"/>
        </w:rPr>
        <w:t xml:space="preserve">       </w:t>
      </w:r>
      <w:r w:rsidRPr="00D30EF0">
        <w:rPr>
          <w:rFonts w:ascii="Tahoma" w:hAnsi="Tahoma" w:cs="Tahoma"/>
          <w:sz w:val="20"/>
        </w:rPr>
        <w:t>+ 45,2 millions</w:t>
      </w:r>
    </w:p>
    <w:p w:rsidR="00D30EF0" w:rsidRPr="00D30EF0" w:rsidRDefault="00D30EF0" w:rsidP="00D30EF0">
      <w:pPr>
        <w:rPr>
          <w:rFonts w:ascii="Tahoma" w:hAnsi="Tahoma" w:cs="Tahoma"/>
          <w:sz w:val="20"/>
        </w:rPr>
      </w:pPr>
      <w:r w:rsidRPr="00D30EF0">
        <w:rPr>
          <w:rFonts w:ascii="Tahoma" w:hAnsi="Tahoma" w:cs="Tahoma"/>
          <w:sz w:val="20"/>
        </w:rPr>
        <w:t xml:space="preserve">- Forfait d’éducation . . . . . . . . . . . . . . . . . . . . . . . . . . . . . . . . . . . . . . . . . </w:t>
      </w:r>
      <w:r>
        <w:rPr>
          <w:rFonts w:ascii="Tahoma" w:hAnsi="Tahoma" w:cs="Tahoma"/>
          <w:sz w:val="20"/>
        </w:rPr>
        <w:t xml:space="preserve"> </w:t>
      </w:r>
      <w:r w:rsidRPr="00D30EF0">
        <w:rPr>
          <w:rFonts w:ascii="Tahoma" w:hAnsi="Tahoma" w:cs="Tahoma"/>
          <w:sz w:val="20"/>
        </w:rPr>
        <w:t>+ 40,0 millions</w:t>
      </w:r>
    </w:p>
    <w:p w:rsidR="00D30EF0" w:rsidRPr="00D30EF0" w:rsidRDefault="00D30EF0" w:rsidP="00D30EF0">
      <w:pPr>
        <w:rPr>
          <w:rFonts w:ascii="Tahoma" w:hAnsi="Tahoma" w:cs="Tahoma"/>
          <w:sz w:val="20"/>
        </w:rPr>
      </w:pPr>
      <w:r w:rsidRPr="00D30EF0">
        <w:rPr>
          <w:rFonts w:ascii="Tahoma" w:hAnsi="Tahoma" w:cs="Tahoma"/>
          <w:sz w:val="20"/>
        </w:rPr>
        <w:t xml:space="preserve">- Participation dans le financement de l’assurance-dépendance . . . . . . . . </w:t>
      </w:r>
      <w:r>
        <w:rPr>
          <w:rFonts w:ascii="Tahoma" w:hAnsi="Tahoma" w:cs="Tahoma"/>
          <w:sz w:val="20"/>
        </w:rPr>
        <w:t xml:space="preserve">      </w:t>
      </w:r>
      <w:r w:rsidRPr="00D30EF0">
        <w:rPr>
          <w:rFonts w:ascii="Tahoma" w:hAnsi="Tahoma" w:cs="Tahoma"/>
          <w:sz w:val="20"/>
        </w:rPr>
        <w:t>+ 28,1 millions</w:t>
      </w:r>
    </w:p>
    <w:p w:rsidR="005E31F7" w:rsidRPr="005E31F7" w:rsidRDefault="005E31F7" w:rsidP="005E31F7">
      <w:pPr>
        <w:rPr>
          <w:rFonts w:ascii="Tahoma" w:hAnsi="Tahoma" w:cs="Tahoma"/>
          <w:sz w:val="20"/>
        </w:rPr>
      </w:pPr>
      <w:r w:rsidRPr="005E31F7">
        <w:rPr>
          <w:rFonts w:ascii="Tahoma" w:hAnsi="Tahoma" w:cs="Tahoma"/>
          <w:sz w:val="20"/>
        </w:rPr>
        <w:t>- Aide au développement . . . . . . . . . . . . . . . . . . . . . . . . . . . . . . .</w:t>
      </w:r>
      <w:r>
        <w:rPr>
          <w:rFonts w:ascii="Tahoma" w:hAnsi="Tahoma" w:cs="Tahoma"/>
          <w:sz w:val="20"/>
        </w:rPr>
        <w:t xml:space="preserve">  </w:t>
      </w:r>
      <w:r w:rsidRPr="005E31F7">
        <w:rPr>
          <w:rFonts w:ascii="Tahoma" w:hAnsi="Tahoma" w:cs="Tahoma"/>
          <w:sz w:val="20"/>
        </w:rPr>
        <w:t xml:space="preserve">             + 26,0 millions</w:t>
      </w:r>
    </w:p>
    <w:p w:rsidR="005E31F7" w:rsidRPr="005E31F7" w:rsidRDefault="005E31F7" w:rsidP="005E31F7">
      <w:pPr>
        <w:rPr>
          <w:rFonts w:ascii="Tahoma" w:hAnsi="Tahoma" w:cs="Tahoma"/>
          <w:sz w:val="20"/>
        </w:rPr>
      </w:pPr>
      <w:r w:rsidRPr="005E31F7">
        <w:rPr>
          <w:rFonts w:ascii="Tahoma" w:hAnsi="Tahoma" w:cs="Tahoma"/>
          <w:sz w:val="20"/>
        </w:rPr>
        <w:t>- Fonds des pensions des agents publics . . . . . . . . . . . . . . . . . . . . . . . . . .   + 21,5 millions</w:t>
      </w:r>
    </w:p>
    <w:p w:rsidR="005E31F7" w:rsidRPr="005E31F7" w:rsidRDefault="005E31F7" w:rsidP="005E31F7">
      <w:pPr>
        <w:rPr>
          <w:rFonts w:ascii="Tahoma" w:hAnsi="Tahoma" w:cs="Tahoma"/>
          <w:sz w:val="20"/>
        </w:rPr>
      </w:pPr>
      <w:r w:rsidRPr="005E31F7">
        <w:rPr>
          <w:rFonts w:ascii="Tahoma" w:hAnsi="Tahoma" w:cs="Tahoma"/>
          <w:sz w:val="20"/>
        </w:rPr>
        <w:t>- Traitements et pensions des fonctionnaires . . . . . . . . . . . . . . . . . . . . . . .   + 21,4 millions</w:t>
      </w:r>
    </w:p>
    <w:p w:rsidR="005E31F7" w:rsidRPr="005E31F7" w:rsidRDefault="005E31F7" w:rsidP="005E31F7">
      <w:pPr>
        <w:rPr>
          <w:rFonts w:ascii="Tahoma" w:hAnsi="Tahoma" w:cs="Tahoma"/>
          <w:sz w:val="20"/>
        </w:rPr>
      </w:pPr>
      <w:r w:rsidRPr="005E31F7">
        <w:rPr>
          <w:rFonts w:ascii="Tahoma" w:hAnsi="Tahoma" w:cs="Tahoma"/>
          <w:sz w:val="20"/>
        </w:rPr>
        <w:t>- Recherche publique . . . . . . . . . . . . . . . . . . . . . . . . . . . . . . . . . . . . . . . . .</w:t>
      </w:r>
      <w:r>
        <w:rPr>
          <w:rFonts w:ascii="Tahoma" w:hAnsi="Tahoma" w:cs="Tahoma"/>
          <w:sz w:val="20"/>
        </w:rPr>
        <w:t xml:space="preserve"> </w:t>
      </w:r>
      <w:r w:rsidRPr="005E31F7">
        <w:rPr>
          <w:rFonts w:ascii="Tahoma" w:hAnsi="Tahoma" w:cs="Tahoma"/>
          <w:sz w:val="20"/>
        </w:rPr>
        <w:t>+ 18,9 millions</w:t>
      </w:r>
    </w:p>
    <w:p w:rsidR="005E31F7" w:rsidRPr="005E31F7" w:rsidRDefault="005E31F7" w:rsidP="005E31F7">
      <w:pPr>
        <w:rPr>
          <w:rFonts w:ascii="Tahoma" w:hAnsi="Tahoma" w:cs="Tahoma"/>
          <w:sz w:val="20"/>
        </w:rPr>
      </w:pPr>
      <w:r w:rsidRPr="005E31F7">
        <w:rPr>
          <w:rFonts w:ascii="Tahoma" w:hAnsi="Tahoma" w:cs="Tahoma"/>
          <w:sz w:val="20"/>
        </w:rPr>
        <w:t>- Participation dans le financement des allocations familiales . . . . . . . . . .       + 14,5 millions</w:t>
      </w:r>
    </w:p>
    <w:p w:rsidR="005E31F7" w:rsidRPr="005E31F7" w:rsidRDefault="005E31F7" w:rsidP="005E31F7">
      <w:pPr>
        <w:rPr>
          <w:rFonts w:ascii="Tahoma" w:hAnsi="Tahoma" w:cs="Tahoma"/>
          <w:sz w:val="20"/>
        </w:rPr>
      </w:pPr>
      <w:r w:rsidRPr="005E31F7">
        <w:rPr>
          <w:rFonts w:ascii="Tahoma" w:hAnsi="Tahoma" w:cs="Tahoma"/>
          <w:sz w:val="20"/>
        </w:rPr>
        <w:t>- Versement du produit des impôts de solidarité . . . . . . . . . . . . . . . . . . . .     + 10,4 millions</w:t>
      </w:r>
    </w:p>
    <w:p w:rsidR="005E31F7" w:rsidRPr="005E31F7" w:rsidRDefault="005E31F7" w:rsidP="005E31F7">
      <w:pPr>
        <w:rPr>
          <w:rFonts w:ascii="Tahoma" w:hAnsi="Tahoma" w:cs="Tahoma"/>
          <w:sz w:val="20"/>
          <w:u w:val="single"/>
        </w:rPr>
      </w:pPr>
      <w:r w:rsidRPr="005E31F7">
        <w:rPr>
          <w:rFonts w:ascii="Tahoma" w:hAnsi="Tahoma" w:cs="Tahoma"/>
          <w:sz w:val="20"/>
        </w:rPr>
        <w:t xml:space="preserve">- Transport public routier et ferroviaire . . . . . . . . . . . . . . . . . . . . . . . . . . </w:t>
      </w:r>
      <w:r w:rsidRPr="005E31F7">
        <w:rPr>
          <w:rFonts w:ascii="Tahoma" w:hAnsi="Tahoma" w:cs="Tahoma"/>
          <w:sz w:val="20"/>
          <w:u w:val="single"/>
        </w:rPr>
        <w:t>.    +  6,0 millions</w:t>
      </w:r>
    </w:p>
    <w:p w:rsidR="005E31F7" w:rsidRPr="005E31F7" w:rsidRDefault="005E31F7" w:rsidP="005E31F7">
      <w:pPr>
        <w:rPr>
          <w:rFonts w:ascii="Tahoma" w:hAnsi="Tahoma" w:cs="Tahoma"/>
          <w:sz w:val="20"/>
        </w:rPr>
      </w:pPr>
      <w:r>
        <w:rPr>
          <w:rFonts w:ascii="Tahoma" w:hAnsi="Tahoma" w:cs="Tahoma"/>
          <w:sz w:val="20"/>
        </w:rPr>
        <w:t xml:space="preserve">                                                         </w:t>
      </w:r>
      <w:r w:rsidRPr="005E31F7">
        <w:rPr>
          <w:rFonts w:ascii="Tahoma" w:hAnsi="Tahoma" w:cs="Tahoma"/>
          <w:sz w:val="20"/>
        </w:rPr>
        <w:t>Total . . . . . . . . . . . . . . . . . . . . . . . . 335,0 millions</w:t>
      </w:r>
    </w:p>
    <w:p w:rsidR="0050582B" w:rsidRDefault="0050582B" w:rsidP="0050582B">
      <w:pPr>
        <w:jc w:val="center"/>
      </w:pPr>
    </w:p>
    <w:sectPr w:rsidR="0050582B" w:rsidSect="00350E67">
      <w:headerReference w:type="even" r:id="rId7"/>
      <w:headerReference w:type="default" r:id="rId8"/>
      <w:footerReference w:type="even" r:id="rId9"/>
      <w:footerReference w:type="default" r:id="rId10"/>
      <w:pgSz w:w="11907" w:h="16840" w:code="9"/>
      <w:pgMar w:top="1418" w:right="964" w:bottom="1418" w:left="2268" w:header="851"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5A1B">
      <w:r>
        <w:separator/>
      </w:r>
    </w:p>
  </w:endnote>
  <w:endnote w:type="continuationSeparator" w:id="0">
    <w:p w:rsidR="00000000" w:rsidRDefault="00A2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ougham">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rsidP="00F737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0732" w:rsidRDefault="003E073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rsidP="00F737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F2B56">
      <w:rPr>
        <w:rStyle w:val="Numrodepage"/>
        <w:noProof/>
      </w:rPr>
      <w:t>2</w:t>
    </w:r>
    <w:r>
      <w:rPr>
        <w:rStyle w:val="Numrodepage"/>
      </w:rPr>
      <w:fldChar w:fldCharType="end"/>
    </w:r>
  </w:p>
  <w:p w:rsidR="003E0732" w:rsidRDefault="003E0732" w:rsidP="007A1854">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5A1B">
      <w:r>
        <w:separator/>
      </w:r>
    </w:p>
  </w:footnote>
  <w:footnote w:type="continuationSeparator" w:id="0">
    <w:p w:rsidR="00000000" w:rsidRDefault="00A25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0732" w:rsidRDefault="003E0732">
    <w:pPr>
      <w:pStyle w:val="En-tt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pPr>
      <w:pStyle w:val="En-tte"/>
      <w:framePr w:wrap="around" w:vAnchor="text" w:hAnchor="margin" w:xAlign="center" w:y="1"/>
      <w:jc w:val="center"/>
      <w:rPr>
        <w:rStyle w:val="Numrodepage"/>
        <w:rFonts w:ascii="Times New Roman" w:hAnsi="Times New Roman"/>
        <w:sz w:val="20"/>
      </w:rPr>
    </w:pPr>
  </w:p>
  <w:p w:rsidR="003E0732" w:rsidRDefault="003E0732">
    <w:pPr>
      <w:pStyle w:val="En-tte"/>
      <w:framePr w:wrap="around" w:vAnchor="text" w:hAnchor="margin" w:xAlign="center" w:y="1"/>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2E7867E8"/>
    <w:multiLevelType w:val="singleLevel"/>
    <w:tmpl w:val="3AC630DC"/>
    <w:lvl w:ilvl="0">
      <w:start w:val="38"/>
      <w:numFmt w:val="decimal"/>
      <w:pStyle w:val="Lgende"/>
      <w:lvlText w:val="Art. %1.-"/>
      <w:lvlJc w:val="left"/>
      <w:pPr>
        <w:tabs>
          <w:tab w:val="num" w:pos="1571"/>
        </w:tabs>
        <w:ind w:left="360" w:firstLine="491"/>
      </w:pPr>
      <w:rPr>
        <w:rFonts w:ascii="Times" w:hAnsi="Times" w:hint="default"/>
        <w:b/>
        <w:i w:val="0"/>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fr-FR" w:vendorID="9" w:dllVersion="512" w:checkStyle="1"/>
  <w:activeWritingStyle w:appName="MSWord" w:lang="de-DE"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35C"/>
    <w:rsid w:val="00001A1C"/>
    <w:rsid w:val="00007D06"/>
    <w:rsid w:val="000173E2"/>
    <w:rsid w:val="00032581"/>
    <w:rsid w:val="000347E5"/>
    <w:rsid w:val="00037A89"/>
    <w:rsid w:val="00051CD0"/>
    <w:rsid w:val="00060F03"/>
    <w:rsid w:val="000628AA"/>
    <w:rsid w:val="0006558D"/>
    <w:rsid w:val="00070184"/>
    <w:rsid w:val="000869E3"/>
    <w:rsid w:val="00090490"/>
    <w:rsid w:val="000934F6"/>
    <w:rsid w:val="000E070C"/>
    <w:rsid w:val="000E5582"/>
    <w:rsid w:val="000E66E4"/>
    <w:rsid w:val="000F2E07"/>
    <w:rsid w:val="000F43CA"/>
    <w:rsid w:val="000F5E20"/>
    <w:rsid w:val="000F739D"/>
    <w:rsid w:val="00106633"/>
    <w:rsid w:val="00136448"/>
    <w:rsid w:val="00155FD2"/>
    <w:rsid w:val="00160A61"/>
    <w:rsid w:val="00172E04"/>
    <w:rsid w:val="0019284F"/>
    <w:rsid w:val="001C3A9B"/>
    <w:rsid w:val="001C41A0"/>
    <w:rsid w:val="001E5049"/>
    <w:rsid w:val="0020682D"/>
    <w:rsid w:val="002251C3"/>
    <w:rsid w:val="0026144B"/>
    <w:rsid w:val="00273142"/>
    <w:rsid w:val="00277BA8"/>
    <w:rsid w:val="00282189"/>
    <w:rsid w:val="00290BCA"/>
    <w:rsid w:val="002A2A39"/>
    <w:rsid w:val="002A3908"/>
    <w:rsid w:val="002B66D0"/>
    <w:rsid w:val="002F733E"/>
    <w:rsid w:val="003016DB"/>
    <w:rsid w:val="00303F7A"/>
    <w:rsid w:val="00323E1A"/>
    <w:rsid w:val="00325B49"/>
    <w:rsid w:val="00350E67"/>
    <w:rsid w:val="00351C44"/>
    <w:rsid w:val="003667F7"/>
    <w:rsid w:val="003A0594"/>
    <w:rsid w:val="003A3668"/>
    <w:rsid w:val="003A7FB1"/>
    <w:rsid w:val="003C3A95"/>
    <w:rsid w:val="003E0732"/>
    <w:rsid w:val="003E29C2"/>
    <w:rsid w:val="00402A0B"/>
    <w:rsid w:val="004202EC"/>
    <w:rsid w:val="0043170B"/>
    <w:rsid w:val="004320E2"/>
    <w:rsid w:val="00443AC5"/>
    <w:rsid w:val="0045384D"/>
    <w:rsid w:val="00465A48"/>
    <w:rsid w:val="004733CE"/>
    <w:rsid w:val="0047617B"/>
    <w:rsid w:val="0048147B"/>
    <w:rsid w:val="004835FA"/>
    <w:rsid w:val="00497FBF"/>
    <w:rsid w:val="004E5F2C"/>
    <w:rsid w:val="004F529D"/>
    <w:rsid w:val="0050582B"/>
    <w:rsid w:val="00521D5F"/>
    <w:rsid w:val="00522160"/>
    <w:rsid w:val="00524EE3"/>
    <w:rsid w:val="00530FF3"/>
    <w:rsid w:val="00534A49"/>
    <w:rsid w:val="00541D83"/>
    <w:rsid w:val="00580FEA"/>
    <w:rsid w:val="00587CFC"/>
    <w:rsid w:val="00594CE7"/>
    <w:rsid w:val="005A556C"/>
    <w:rsid w:val="005C21A4"/>
    <w:rsid w:val="005D114B"/>
    <w:rsid w:val="005D1303"/>
    <w:rsid w:val="005D2222"/>
    <w:rsid w:val="005D2725"/>
    <w:rsid w:val="005E2F20"/>
    <w:rsid w:val="005E31F7"/>
    <w:rsid w:val="005F027C"/>
    <w:rsid w:val="005F2B56"/>
    <w:rsid w:val="006076A2"/>
    <w:rsid w:val="00616D5E"/>
    <w:rsid w:val="0062085B"/>
    <w:rsid w:val="00632FE5"/>
    <w:rsid w:val="0063661E"/>
    <w:rsid w:val="00641ACA"/>
    <w:rsid w:val="006424D8"/>
    <w:rsid w:val="006740C4"/>
    <w:rsid w:val="006F0041"/>
    <w:rsid w:val="00700C12"/>
    <w:rsid w:val="00722F12"/>
    <w:rsid w:val="007410B8"/>
    <w:rsid w:val="00752900"/>
    <w:rsid w:val="007612B7"/>
    <w:rsid w:val="00776C33"/>
    <w:rsid w:val="00780F70"/>
    <w:rsid w:val="007972A9"/>
    <w:rsid w:val="007A1854"/>
    <w:rsid w:val="007B5D41"/>
    <w:rsid w:val="007C745B"/>
    <w:rsid w:val="007D1246"/>
    <w:rsid w:val="007E0E6A"/>
    <w:rsid w:val="007E3C07"/>
    <w:rsid w:val="0080435C"/>
    <w:rsid w:val="008044DA"/>
    <w:rsid w:val="008063FC"/>
    <w:rsid w:val="00836EB4"/>
    <w:rsid w:val="00844512"/>
    <w:rsid w:val="00845215"/>
    <w:rsid w:val="00856C53"/>
    <w:rsid w:val="00864F3E"/>
    <w:rsid w:val="008B2D55"/>
    <w:rsid w:val="008B4B70"/>
    <w:rsid w:val="008D5D17"/>
    <w:rsid w:val="008E73D2"/>
    <w:rsid w:val="008F68F6"/>
    <w:rsid w:val="00923E2E"/>
    <w:rsid w:val="00926F76"/>
    <w:rsid w:val="00932BDB"/>
    <w:rsid w:val="00935EBB"/>
    <w:rsid w:val="00936B47"/>
    <w:rsid w:val="00953C65"/>
    <w:rsid w:val="00992668"/>
    <w:rsid w:val="009B16C0"/>
    <w:rsid w:val="009B57F9"/>
    <w:rsid w:val="009C50BB"/>
    <w:rsid w:val="009E3A90"/>
    <w:rsid w:val="00A167FC"/>
    <w:rsid w:val="00A224DB"/>
    <w:rsid w:val="00A2296C"/>
    <w:rsid w:val="00A23150"/>
    <w:rsid w:val="00A23E20"/>
    <w:rsid w:val="00A25A1B"/>
    <w:rsid w:val="00A364F9"/>
    <w:rsid w:val="00A37735"/>
    <w:rsid w:val="00A41B2A"/>
    <w:rsid w:val="00A4301A"/>
    <w:rsid w:val="00A61F31"/>
    <w:rsid w:val="00A66B27"/>
    <w:rsid w:val="00A754E6"/>
    <w:rsid w:val="00A83D4B"/>
    <w:rsid w:val="00A86796"/>
    <w:rsid w:val="00A87D92"/>
    <w:rsid w:val="00A96CF2"/>
    <w:rsid w:val="00AC1208"/>
    <w:rsid w:val="00AE0EFA"/>
    <w:rsid w:val="00B36C34"/>
    <w:rsid w:val="00B81611"/>
    <w:rsid w:val="00BB4087"/>
    <w:rsid w:val="00BC4D8D"/>
    <w:rsid w:val="00BD61D6"/>
    <w:rsid w:val="00BF1B02"/>
    <w:rsid w:val="00C01565"/>
    <w:rsid w:val="00C05615"/>
    <w:rsid w:val="00C159A2"/>
    <w:rsid w:val="00C41F13"/>
    <w:rsid w:val="00C50D0D"/>
    <w:rsid w:val="00C521DE"/>
    <w:rsid w:val="00C555D2"/>
    <w:rsid w:val="00C61559"/>
    <w:rsid w:val="00C80F9E"/>
    <w:rsid w:val="00C8573D"/>
    <w:rsid w:val="00C92010"/>
    <w:rsid w:val="00CA0127"/>
    <w:rsid w:val="00CB698E"/>
    <w:rsid w:val="00CE48E9"/>
    <w:rsid w:val="00D053BA"/>
    <w:rsid w:val="00D11316"/>
    <w:rsid w:val="00D1634C"/>
    <w:rsid w:val="00D2145A"/>
    <w:rsid w:val="00D238AE"/>
    <w:rsid w:val="00D257D8"/>
    <w:rsid w:val="00D30EF0"/>
    <w:rsid w:val="00D337CD"/>
    <w:rsid w:val="00D338D2"/>
    <w:rsid w:val="00D52DE1"/>
    <w:rsid w:val="00D62A0C"/>
    <w:rsid w:val="00D76325"/>
    <w:rsid w:val="00D874E7"/>
    <w:rsid w:val="00D903BC"/>
    <w:rsid w:val="00DA3384"/>
    <w:rsid w:val="00DB1005"/>
    <w:rsid w:val="00DC6014"/>
    <w:rsid w:val="00DD2C2B"/>
    <w:rsid w:val="00DD45C8"/>
    <w:rsid w:val="00DD69C9"/>
    <w:rsid w:val="00DF73FA"/>
    <w:rsid w:val="00DF7B03"/>
    <w:rsid w:val="00E07422"/>
    <w:rsid w:val="00E16E2D"/>
    <w:rsid w:val="00E23E8F"/>
    <w:rsid w:val="00E37E69"/>
    <w:rsid w:val="00E418FD"/>
    <w:rsid w:val="00E44AEA"/>
    <w:rsid w:val="00E50C3D"/>
    <w:rsid w:val="00E77E56"/>
    <w:rsid w:val="00EA422A"/>
    <w:rsid w:val="00EB463E"/>
    <w:rsid w:val="00ED35B7"/>
    <w:rsid w:val="00EE508B"/>
    <w:rsid w:val="00F032D3"/>
    <w:rsid w:val="00F04FBF"/>
    <w:rsid w:val="00F0681A"/>
    <w:rsid w:val="00F350EE"/>
    <w:rsid w:val="00F55E40"/>
    <w:rsid w:val="00F73760"/>
    <w:rsid w:val="00F85A7F"/>
    <w:rsid w:val="00F9004C"/>
    <w:rsid w:val="00FA39B2"/>
    <w:rsid w:val="00FC5E51"/>
    <w:rsid w:val="00FE0FD1"/>
    <w:rsid w:val="00FE7A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A6BF05-5F63-4210-9A7E-C19E0C01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Geneva" w:hAnsi="Geneva"/>
      <w:snapToGrid w:val="0"/>
      <w:sz w:val="24"/>
      <w:lang w:val="fr-FR" w:eastAsia="en-US"/>
    </w:rPr>
  </w:style>
  <w:style w:type="paragraph" w:styleId="Titre1">
    <w:name w:val="heading 1"/>
    <w:basedOn w:val="Normal"/>
    <w:next w:val="Normal"/>
    <w:qFormat/>
    <w:pPr>
      <w:keepNext/>
      <w:numPr>
        <w:numId w:val="2"/>
      </w:numPr>
      <w:spacing w:before="240" w:after="60"/>
      <w:outlineLvl w:val="0"/>
    </w:pPr>
    <w:rPr>
      <w:rFonts w:ascii="Arial" w:hAnsi="Arial"/>
      <w:b/>
      <w:kern w:val="28"/>
      <w:sz w:val="28"/>
    </w:rPr>
  </w:style>
  <w:style w:type="paragraph" w:styleId="Titre2">
    <w:name w:val="heading 2"/>
    <w:basedOn w:val="Normal"/>
    <w:next w:val="Normal"/>
    <w:qFormat/>
    <w:pPr>
      <w:keepNext/>
      <w:numPr>
        <w:ilvl w:val="1"/>
        <w:numId w:val="2"/>
      </w:numPr>
      <w:spacing w:before="240" w:after="60"/>
      <w:outlineLvl w:val="1"/>
    </w:pPr>
    <w:rPr>
      <w:rFonts w:ascii="Arial" w:hAnsi="Arial"/>
      <w:b/>
      <w:i/>
    </w:rPr>
  </w:style>
  <w:style w:type="paragraph" w:styleId="Titre3">
    <w:name w:val="heading 3"/>
    <w:basedOn w:val="Normal"/>
    <w:next w:val="Normal"/>
    <w:qFormat/>
    <w:pPr>
      <w:keepNext/>
      <w:numPr>
        <w:ilvl w:val="2"/>
        <w:numId w:val="2"/>
      </w:numPr>
      <w:spacing w:before="240" w:after="60"/>
      <w:outlineLvl w:val="2"/>
    </w:pPr>
    <w:rPr>
      <w:b/>
    </w:rPr>
  </w:style>
  <w:style w:type="paragraph" w:styleId="Titre4">
    <w:name w:val="heading 4"/>
    <w:basedOn w:val="Normal"/>
    <w:next w:val="Normal"/>
    <w:qFormat/>
    <w:pPr>
      <w:keepNext/>
      <w:numPr>
        <w:ilvl w:val="3"/>
        <w:numId w:val="2"/>
      </w:numPr>
      <w:spacing w:before="240" w:after="60"/>
      <w:outlineLvl w:val="3"/>
    </w:pPr>
    <w:rPr>
      <w:b/>
      <w:i/>
    </w:rPr>
  </w:style>
  <w:style w:type="paragraph" w:styleId="Titre5">
    <w:name w:val="heading 5"/>
    <w:basedOn w:val="Normal"/>
    <w:next w:val="Normal"/>
    <w:qFormat/>
    <w:pPr>
      <w:numPr>
        <w:ilvl w:val="4"/>
        <w:numId w:val="2"/>
      </w:numPr>
      <w:spacing w:before="240" w:after="60"/>
      <w:outlineLvl w:val="4"/>
    </w:pPr>
    <w:rPr>
      <w:rFonts w:ascii="Arial" w:hAnsi="Arial"/>
      <w:sz w:val="22"/>
    </w:rPr>
  </w:style>
  <w:style w:type="paragraph" w:styleId="Titre6">
    <w:name w:val="heading 6"/>
    <w:basedOn w:val="Normal"/>
    <w:next w:val="Normal"/>
    <w:qFormat/>
    <w:pPr>
      <w:numPr>
        <w:ilvl w:val="5"/>
        <w:numId w:val="2"/>
      </w:numPr>
      <w:spacing w:before="240" w:after="60"/>
      <w:outlineLvl w:val="5"/>
    </w:pPr>
    <w:rPr>
      <w:rFonts w:ascii="Arial" w:hAnsi="Arial"/>
      <w:i/>
      <w:sz w:val="22"/>
    </w:rPr>
  </w:style>
  <w:style w:type="paragraph" w:styleId="Titre7">
    <w:name w:val="heading 7"/>
    <w:basedOn w:val="Normal"/>
    <w:next w:val="Normal"/>
    <w:qFormat/>
    <w:pPr>
      <w:numPr>
        <w:ilvl w:val="6"/>
        <w:numId w:val="2"/>
      </w:numPr>
      <w:spacing w:before="240" w:after="60"/>
      <w:outlineLvl w:val="6"/>
    </w:pPr>
    <w:rPr>
      <w:rFonts w:ascii="Arial" w:hAnsi="Arial"/>
      <w:sz w:val="20"/>
    </w:rPr>
  </w:style>
  <w:style w:type="paragraph" w:styleId="Titre8">
    <w:name w:val="heading 8"/>
    <w:basedOn w:val="Normal"/>
    <w:next w:val="Normal"/>
    <w:qFormat/>
    <w:pPr>
      <w:numPr>
        <w:ilvl w:val="7"/>
        <w:numId w:val="2"/>
      </w:numPr>
      <w:spacing w:before="240" w:after="60"/>
      <w:outlineLvl w:val="7"/>
    </w:pPr>
    <w:rPr>
      <w:rFonts w:ascii="Arial" w:hAnsi="Arial"/>
      <w:i/>
      <w:sz w:val="20"/>
    </w:rPr>
  </w:style>
  <w:style w:type="paragraph" w:styleId="Titre9">
    <w:name w:val="heading 9"/>
    <w:basedOn w:val="Normal"/>
    <w:next w:val="Normal"/>
    <w:qFormat/>
    <w:pPr>
      <w:numPr>
        <w:ilvl w:val="8"/>
        <w:numId w:val="2"/>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tabs>
        <w:tab w:val="left" w:pos="1701"/>
        <w:tab w:val="left" w:pos="10080"/>
        <w:tab w:val="left" w:pos="10800"/>
      </w:tabs>
    </w:pPr>
    <w:rPr>
      <w:sz w:val="20"/>
    </w:rPr>
  </w:style>
  <w:style w:type="paragraph" w:styleId="Retraitcorpsdetexte2">
    <w:name w:val="Body Text Indent 2"/>
    <w:basedOn w:val="Normal"/>
    <w:pPr>
      <w:tabs>
        <w:tab w:val="left" w:pos="0"/>
        <w:tab w:val="left" w:pos="10080"/>
        <w:tab w:val="left" w:pos="10800"/>
      </w:tabs>
      <w:spacing w:line="260" w:lineRule="exact"/>
      <w:ind w:firstLine="567"/>
      <w:jc w:val="both"/>
    </w:pPr>
    <w:rPr>
      <w:sz w:val="20"/>
    </w:rPr>
  </w:style>
  <w:style w:type="paragraph" w:styleId="Retraitcorpsdetexte3">
    <w:name w:val="Body Text Indent 3"/>
    <w:basedOn w:val="Normal"/>
    <w:pPr>
      <w:tabs>
        <w:tab w:val="left" w:pos="80"/>
        <w:tab w:val="left" w:pos="10080"/>
        <w:tab w:val="left" w:pos="10800"/>
      </w:tabs>
      <w:ind w:firstLine="567"/>
      <w:jc w:val="both"/>
    </w:pPr>
    <w:rPr>
      <w:b/>
      <w:sz w:val="20"/>
      <w:lang w:val="en-US"/>
    </w:rPr>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Corpsdetexte">
    <w:name w:val="Body Text"/>
    <w:basedOn w:val="Normal"/>
    <w:pPr>
      <w:tabs>
        <w:tab w:val="left" w:pos="80"/>
        <w:tab w:val="left" w:pos="10080"/>
        <w:tab w:val="left" w:pos="10800"/>
      </w:tabs>
      <w:jc w:val="both"/>
    </w:pPr>
    <w:rPr>
      <w:sz w:val="20"/>
    </w:rPr>
  </w:style>
  <w:style w:type="paragraph" w:styleId="Lgende">
    <w:name w:val="caption"/>
    <w:basedOn w:val="Normal"/>
    <w:next w:val="Normal"/>
    <w:qFormat/>
    <w:pPr>
      <w:numPr>
        <w:numId w:val="1"/>
      </w:numPr>
      <w:tabs>
        <w:tab w:val="left" w:pos="80"/>
        <w:tab w:val="left" w:pos="10080"/>
        <w:tab w:val="left" w:pos="10800"/>
      </w:tabs>
      <w:spacing w:before="80" w:after="80"/>
      <w:jc w:val="both"/>
    </w:pPr>
    <w:rPr>
      <w:b/>
      <w:i/>
      <w:sz w:val="20"/>
    </w:rPr>
  </w:style>
  <w:style w:type="paragraph" w:customStyle="1" w:styleId="retng">
    <w:name w:val="retnég"/>
    <w:basedOn w:val="Normal"/>
    <w:pPr>
      <w:widowControl/>
      <w:spacing w:line="360" w:lineRule="auto"/>
      <w:ind w:left="1474" w:hanging="340"/>
    </w:pPr>
    <w:rPr>
      <w:rFonts w:ascii="Brougham" w:hAnsi="Brougham"/>
      <w:snapToGrid/>
      <w:color w:val="000080"/>
      <w:sz w:val="20"/>
    </w:rPr>
  </w:style>
  <w:style w:type="paragraph" w:styleId="Corpsdetexte2">
    <w:name w:val="Body Text 2"/>
    <w:basedOn w:val="Normal"/>
    <w:rPr>
      <w:rFonts w:ascii="Times" w:hAnsi="Times"/>
      <w:sz w:val="20"/>
    </w:rPr>
  </w:style>
  <w:style w:type="paragraph" w:styleId="Normalcentr">
    <w:name w:val="Block Text"/>
    <w:basedOn w:val="Normal"/>
    <w:pPr>
      <w:ind w:left="567" w:right="-11" w:firstLine="426"/>
      <w:jc w:val="both"/>
    </w:pPr>
    <w:rPr>
      <w:rFonts w:ascii="Times New Roman" w:hAnsi="Times New Roman"/>
      <w:sz w:val="20"/>
    </w:rPr>
  </w:style>
  <w:style w:type="paragraph" w:styleId="Corpsdetexte3">
    <w:name w:val="Body Text 3"/>
    <w:basedOn w:val="Normal"/>
    <w:pPr>
      <w:tabs>
        <w:tab w:val="left" w:pos="1660"/>
        <w:tab w:val="left" w:pos="10080"/>
        <w:tab w:val="left" w:pos="10800"/>
      </w:tabs>
      <w:spacing w:before="80" w:after="80"/>
      <w:jc w:val="both"/>
    </w:pPr>
    <w:rPr>
      <w:rFonts w:ascii="Times New Roman" w:hAnsi="Times New Roman"/>
      <w:i/>
      <w:sz w:val="20"/>
      <w:effect w:val="none"/>
    </w:rPr>
  </w:style>
  <w:style w:type="paragraph" w:styleId="Titre">
    <w:name w:val="Title"/>
    <w:basedOn w:val="Normal"/>
    <w:qFormat/>
    <w:pPr>
      <w:tabs>
        <w:tab w:val="left" w:pos="10080"/>
        <w:tab w:val="left" w:pos="10800"/>
      </w:tabs>
      <w:ind w:right="159"/>
      <w:jc w:val="center"/>
    </w:pPr>
    <w:rPr>
      <w:rFonts w:ascii="Times New Roman" w:hAnsi="Times New Roman"/>
      <w:b/>
      <w:sz w:val="20"/>
    </w:rPr>
  </w:style>
  <w:style w:type="paragraph" w:styleId="Notedefin">
    <w:name w:val="endnote text"/>
    <w:basedOn w:val="Normal"/>
    <w:semiHidden/>
    <w:pPr>
      <w:widowControl/>
    </w:pPr>
    <w:rPr>
      <w:rFonts w:ascii="Arial" w:hAnsi="Arial"/>
      <w:snapToGrid/>
      <w:color w:val="000000"/>
      <w:sz w:val="20"/>
      <w:lang w:val="en-US"/>
    </w:rPr>
  </w:style>
  <w:style w:type="paragraph" w:customStyle="1" w:styleId="Intituldocument">
    <w:name w:val="Intitulé document"/>
    <w:basedOn w:val="Normal"/>
    <w:pPr>
      <w:keepNext/>
      <w:keepLines/>
      <w:widowControl/>
      <w:spacing w:before="240" w:after="360"/>
    </w:pPr>
    <w:rPr>
      <w:rFonts w:ascii="Times New Roman" w:hAnsi="Times New Roman"/>
      <w:b/>
      <w:snapToGrid/>
      <w:kern w:val="28"/>
      <w:sz w:val="36"/>
      <w:lang w:eastAsia="fr-FR"/>
    </w:rPr>
  </w:style>
  <w:style w:type="paragraph" w:customStyle="1" w:styleId="retrait">
    <w:name w:val="retrait"/>
    <w:basedOn w:val="Normal"/>
    <w:pPr>
      <w:widowControl/>
      <w:spacing w:line="360" w:lineRule="auto"/>
      <w:ind w:left="1134" w:firstLine="851"/>
      <w:jc w:val="both"/>
    </w:pPr>
    <w:rPr>
      <w:rFonts w:ascii="Courier New" w:hAnsi="Courier New"/>
      <w:snapToGrid/>
      <w:sz w:val="20"/>
    </w:rPr>
  </w:style>
  <w:style w:type="paragraph" w:customStyle="1" w:styleId="FAUXTEXTE">
    <w:name w:val="FAUX_TEXTE"/>
    <w:basedOn w:val="Normal"/>
    <w:pPr>
      <w:widowControl/>
      <w:ind w:firstLine="567"/>
      <w:jc w:val="both"/>
      <w:outlineLvl w:val="0"/>
    </w:pPr>
    <w:rPr>
      <w:rFonts w:ascii="Arial" w:hAnsi="Arial"/>
      <w:snapToGrid/>
      <w:sz w:val="22"/>
    </w:rPr>
  </w:style>
  <w:style w:type="paragraph" w:styleId="Textebrut">
    <w:name w:val="Plain Text"/>
    <w:basedOn w:val="Normal"/>
    <w:pPr>
      <w:widowControl/>
    </w:pPr>
    <w:rPr>
      <w:rFonts w:ascii="Courier New" w:hAnsi="Courier New"/>
      <w:snapToGrid/>
      <w:sz w:val="20"/>
      <w:lang w:eastAsia="fr-FR"/>
    </w:rPr>
  </w:style>
  <w:style w:type="paragraph" w:customStyle="1" w:styleId="aind">
    <w:name w:val="a_ind"/>
    <w:basedOn w:val="Normal"/>
    <w:pPr>
      <w:widowControl/>
      <w:ind w:firstLine="851"/>
    </w:pPr>
    <w:rPr>
      <w:rFonts w:ascii="Times New Roman" w:hAnsi="Times New Roman"/>
      <w:snapToGrid/>
      <w:lang w:eastAsia="fr-FR"/>
    </w:rPr>
  </w:style>
  <w:style w:type="paragraph" w:customStyle="1" w:styleId="aneg2">
    <w:name w:val="a_neg2"/>
    <w:basedOn w:val="Normal"/>
    <w:pPr>
      <w:widowControl/>
      <w:ind w:left="340" w:hanging="340"/>
    </w:pPr>
    <w:rPr>
      <w:rFonts w:ascii="Times New Roman" w:hAnsi="Times New Roman"/>
      <w:snapToGrid/>
      <w:lang w:eastAsia="fr-FR"/>
    </w:rPr>
  </w:style>
  <w:style w:type="paragraph" w:customStyle="1" w:styleId="PARAGRAPHE2">
    <w:name w:val="PARAGRAPHE2"/>
    <w:basedOn w:val="Normal"/>
    <w:pPr>
      <w:widowControl/>
      <w:ind w:left="851" w:right="567" w:firstLine="851"/>
      <w:jc w:val="both"/>
    </w:pPr>
    <w:rPr>
      <w:rFonts w:ascii="Arial" w:hAnsi="Arial"/>
      <w:snapToGrid/>
      <w:sz w:val="20"/>
    </w:rPr>
  </w:style>
  <w:style w:type="table" w:styleId="Grilledutableau">
    <w:name w:val="Table Grid"/>
    <w:basedOn w:val="TableauNormal"/>
    <w:rsid w:val="009B16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238AE"/>
    <w:rPr>
      <w:rFonts w:ascii="Tahoma" w:hAnsi="Tahoma" w:cs="Tahoma"/>
      <w:sz w:val="16"/>
      <w:szCs w:val="16"/>
    </w:rPr>
  </w:style>
  <w:style w:type="paragraph" w:styleId="Explorateurdedocuments">
    <w:name w:val="Document Map"/>
    <w:basedOn w:val="Normal"/>
    <w:semiHidden/>
    <w:rsid w:val="00C159A2"/>
    <w:pPr>
      <w:shd w:val="clear" w:color="auto" w:fill="000080"/>
    </w:pPr>
    <w:rPr>
      <w:rFonts w:ascii="Tahoma" w:hAnsi="Tahoma" w:cs="Tahoma"/>
    </w:rPr>
  </w:style>
  <w:style w:type="paragraph" w:customStyle="1" w:styleId="Style1">
    <w:name w:val="Style1"/>
    <w:basedOn w:val="Normal"/>
    <w:rsid w:val="0050582B"/>
    <w:pPr>
      <w:widowControl/>
      <w:jc w:val="both"/>
    </w:pPr>
    <w:rPr>
      <w:rFonts w:ascii="Tahoma" w:eastAsia="SimSun" w:hAnsi="Tahoma"/>
      <w:snapToGrid/>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4015</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PROJET DE LOI</vt:lpstr>
    </vt:vector>
  </TitlesOfParts>
  <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dc:title>
  <dc:subject/>
  <dc:creator>Brigitte Schartz</dc:creator>
  <cp:keywords/>
  <cp:lastModifiedBy>SYSTEM</cp:lastModifiedBy>
  <cp:revision>2</cp:revision>
  <cp:lastPrinted>2005-12-06T15:21:00Z</cp:lastPrinted>
  <dcterms:created xsi:type="dcterms:W3CDTF">2024-02-21T07:40:00Z</dcterms:created>
  <dcterms:modified xsi:type="dcterms:W3CDTF">2024-02-21T07:40:00Z</dcterms:modified>
</cp:coreProperties>
</file>