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46" w:rsidRPr="00B767B2" w:rsidRDefault="00C87F46" w:rsidP="00C87F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fr-LU" w:bidi="ar-SA"/>
        </w:rPr>
      </w:pPr>
      <w:bookmarkStart w:id="0" w:name="_GoBack"/>
      <w:bookmarkEnd w:id="0"/>
      <w:r w:rsidRPr="00B767B2">
        <w:rPr>
          <w:rFonts w:ascii="Arial" w:hAnsi="Arial" w:cs="Arial"/>
          <w:b/>
          <w:sz w:val="32"/>
          <w:szCs w:val="32"/>
          <w:lang w:val="fr-LU" w:bidi="ar-SA"/>
        </w:rPr>
        <w:t>N° 6071</w:t>
      </w:r>
    </w:p>
    <w:p w:rsidR="00C87F46" w:rsidRPr="00B767B2" w:rsidRDefault="00B767B2" w:rsidP="00C87F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de-LU" w:eastAsia="fr-LU" w:bidi="ar-SA"/>
        </w:rPr>
      </w:pPr>
      <w:r>
        <w:rPr>
          <w:rFonts w:ascii="Arial" w:hAnsi="Arial" w:cs="Arial"/>
          <w:b/>
          <w:bCs/>
          <w:sz w:val="36"/>
          <w:szCs w:val="36"/>
          <w:lang w:val="de-LU" w:eastAsia="fr-LU" w:bidi="ar-SA"/>
        </w:rPr>
        <w:t>PROJET D</w:t>
      </w:r>
      <w:r w:rsidR="00C87F46" w:rsidRPr="00B767B2">
        <w:rPr>
          <w:rFonts w:ascii="Arial" w:hAnsi="Arial" w:cs="Arial"/>
          <w:b/>
          <w:bCs/>
          <w:sz w:val="36"/>
          <w:szCs w:val="36"/>
          <w:lang w:val="de-LU" w:eastAsia="fr-LU" w:bidi="ar-SA"/>
        </w:rPr>
        <w:t>E LOI</w:t>
      </w:r>
    </w:p>
    <w:p w:rsidR="00C87F46" w:rsidRPr="00B767B2" w:rsidRDefault="00C87F46" w:rsidP="00C87F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de-LU" w:eastAsia="fr-LU" w:bidi="ar-SA"/>
        </w:rPr>
      </w:pPr>
    </w:p>
    <w:p w:rsidR="00C87F46" w:rsidRPr="00C053F6" w:rsidRDefault="00C87F46" w:rsidP="00C87F46">
      <w:pPr>
        <w:autoSpaceDE w:val="0"/>
        <w:autoSpaceDN w:val="0"/>
        <w:adjustRightInd w:val="0"/>
        <w:ind w:left="1560" w:right="1417"/>
        <w:jc w:val="both"/>
        <w:rPr>
          <w:rFonts w:ascii="Arial" w:hAnsi="Arial" w:cs="Arial"/>
          <w:b/>
          <w:bCs/>
          <w:lang w:val="fr-LU" w:eastAsia="fr-LU" w:bidi="ar-SA"/>
        </w:rPr>
      </w:pPr>
      <w:r w:rsidRPr="00C053F6">
        <w:rPr>
          <w:rFonts w:ascii="Arial" w:hAnsi="Arial" w:cs="Arial"/>
          <w:b/>
          <w:bCs/>
          <w:lang w:val="fr-LU" w:eastAsia="fr-LU" w:bidi="ar-SA"/>
        </w:rPr>
        <w:t xml:space="preserve">relatif aux mesures d’achèvement </w:t>
      </w:r>
    </w:p>
    <w:p w:rsidR="00C87F46" w:rsidRPr="00C053F6" w:rsidRDefault="00B767B2" w:rsidP="00B767B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fr-LU" w:eastAsia="fr-LU" w:bidi="ar-SA"/>
        </w:rPr>
      </w:pPr>
      <w:r w:rsidRPr="00C053F6">
        <w:rPr>
          <w:rFonts w:ascii="Arial" w:hAnsi="Arial" w:cs="Arial"/>
          <w:b/>
          <w:bCs/>
          <w:lang w:val="fr-LU" w:eastAsia="fr-LU" w:bidi="ar-SA"/>
        </w:rPr>
        <w:t xml:space="preserve">  du </w:t>
      </w:r>
      <w:r w:rsidR="00C87F46" w:rsidRPr="00C053F6">
        <w:rPr>
          <w:rFonts w:ascii="Arial" w:hAnsi="Arial" w:cs="Arial"/>
          <w:b/>
          <w:bCs/>
          <w:lang w:val="fr-LU" w:eastAsia="fr-LU" w:bidi="ar-SA"/>
        </w:rPr>
        <w:t xml:space="preserve">Musée de la Forteresse de Luxembourg dans le réduit du Fort Thüngen et </w:t>
      </w:r>
    </w:p>
    <w:p w:rsidR="00C87F46" w:rsidRPr="00C053F6" w:rsidRDefault="00B767B2" w:rsidP="00B767B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fr-LU" w:eastAsia="fr-LU" w:bidi="ar-SA"/>
        </w:rPr>
      </w:pPr>
      <w:r w:rsidRPr="00C053F6">
        <w:rPr>
          <w:rFonts w:ascii="Arial" w:hAnsi="Arial" w:cs="Arial"/>
          <w:b/>
          <w:bCs/>
          <w:lang w:val="fr-LU" w:eastAsia="fr-LU" w:bidi="ar-SA"/>
        </w:rPr>
        <w:t xml:space="preserve">  </w:t>
      </w:r>
      <w:r w:rsidR="00C87F46" w:rsidRPr="00C053F6">
        <w:rPr>
          <w:rFonts w:ascii="Arial" w:hAnsi="Arial" w:cs="Arial"/>
          <w:b/>
          <w:bCs/>
          <w:lang w:val="fr-LU" w:eastAsia="fr-LU" w:bidi="ar-SA"/>
        </w:rPr>
        <w:t>de la mise en valeur de certaines parties de la forteresse de Luxembourg</w:t>
      </w:r>
    </w:p>
    <w:p w:rsidR="00C87F46" w:rsidRPr="00B767B2" w:rsidRDefault="00C87F46" w:rsidP="00C87F46">
      <w:pPr>
        <w:autoSpaceDE w:val="0"/>
        <w:autoSpaceDN w:val="0"/>
        <w:adjustRightInd w:val="0"/>
        <w:ind w:left="1560" w:right="1417"/>
        <w:jc w:val="both"/>
        <w:rPr>
          <w:rFonts w:ascii="Arial" w:hAnsi="Arial" w:cs="Arial"/>
          <w:b/>
          <w:bCs/>
          <w:sz w:val="28"/>
          <w:szCs w:val="28"/>
          <w:lang w:val="fr-LU" w:eastAsia="fr-LU" w:bidi="ar-SA"/>
        </w:rPr>
      </w:pPr>
    </w:p>
    <w:p w:rsidR="00C87F46" w:rsidRPr="00B767B2" w:rsidRDefault="00C87F46" w:rsidP="00C87F46">
      <w:pPr>
        <w:autoSpaceDE w:val="0"/>
        <w:autoSpaceDN w:val="0"/>
        <w:adjustRightInd w:val="0"/>
        <w:ind w:left="1560" w:right="1417"/>
        <w:jc w:val="center"/>
        <w:rPr>
          <w:rFonts w:ascii="Arial" w:hAnsi="Arial" w:cs="Arial"/>
          <w:b/>
          <w:bCs/>
          <w:sz w:val="28"/>
          <w:szCs w:val="28"/>
          <w:lang w:val="fr-LU" w:eastAsia="fr-LU" w:bidi="ar-SA"/>
        </w:rPr>
      </w:pPr>
      <w:r w:rsidRPr="00B767B2">
        <w:rPr>
          <w:rFonts w:ascii="Arial" w:hAnsi="Arial" w:cs="Arial"/>
          <w:b/>
          <w:bCs/>
          <w:sz w:val="28"/>
          <w:szCs w:val="28"/>
          <w:lang w:val="fr-LU" w:eastAsia="fr-LU" w:bidi="ar-SA"/>
        </w:rPr>
        <w:t>* * *</w:t>
      </w:r>
    </w:p>
    <w:p w:rsidR="00B767B2" w:rsidRPr="00B767B2" w:rsidRDefault="00B767B2" w:rsidP="00B76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LU" w:eastAsia="fr-LU" w:bidi="ar-SA"/>
        </w:rPr>
      </w:pPr>
      <w:r w:rsidRPr="00B767B2">
        <w:rPr>
          <w:rFonts w:ascii="Arial" w:hAnsi="Arial" w:cs="Arial"/>
          <w:sz w:val="20"/>
          <w:szCs w:val="20"/>
          <w:lang w:val="fr-LU" w:eastAsia="fr-LU" w:bidi="ar-SA"/>
        </w:rPr>
        <w:t>Le présent projet de loi a pour objet de permettre:</w:t>
      </w:r>
    </w:p>
    <w:p w:rsidR="00B767B2" w:rsidRPr="00B767B2" w:rsidRDefault="00B767B2" w:rsidP="00B76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LU" w:eastAsia="fr-LU" w:bidi="ar-SA"/>
        </w:rPr>
      </w:pPr>
      <w:r w:rsidRPr="00B767B2">
        <w:rPr>
          <w:rFonts w:ascii="Arial" w:hAnsi="Arial" w:cs="Arial"/>
          <w:sz w:val="20"/>
          <w:szCs w:val="20"/>
          <w:lang w:val="fr-LU" w:eastAsia="fr-LU" w:bidi="ar-SA"/>
        </w:rPr>
        <w:t>– l’achèvement des travaux de transformation du réduit du Fort Thüngen en Musée de la Forteresse</w:t>
      </w:r>
      <w:r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 xml:space="preserve">de </w:t>
      </w:r>
      <w:r>
        <w:rPr>
          <w:rFonts w:ascii="Arial" w:hAnsi="Arial" w:cs="Arial"/>
          <w:sz w:val="20"/>
          <w:szCs w:val="20"/>
          <w:lang w:val="fr-LU" w:eastAsia="fr-LU" w:bidi="ar-SA"/>
        </w:rPr>
        <w:t xml:space="preserve">Luxembourg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;</w:t>
      </w:r>
    </w:p>
    <w:p w:rsidR="00B767B2" w:rsidRDefault="00B767B2" w:rsidP="00B76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LU" w:eastAsia="fr-LU" w:bidi="ar-SA"/>
        </w:rPr>
      </w:pPr>
      <w:r w:rsidRPr="00B767B2">
        <w:rPr>
          <w:rFonts w:ascii="Arial" w:hAnsi="Arial" w:cs="Arial"/>
          <w:sz w:val="20"/>
          <w:szCs w:val="20"/>
          <w:lang w:val="fr-LU" w:eastAsia="fr-LU" w:bidi="ar-SA"/>
        </w:rPr>
        <w:t>– l’achèvement de la mise en valeur de certaines parties de la forteresse de Luxembourg, ceci en les</w:t>
      </w:r>
      <w:r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intégrant dans l’itinéraire culturel, dénommé circuit Vauban.</w:t>
      </w:r>
    </w:p>
    <w:p w:rsidR="00B767B2" w:rsidRPr="00B767B2" w:rsidRDefault="00B767B2" w:rsidP="00B76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LU" w:eastAsia="fr-LU" w:bidi="ar-SA"/>
        </w:rPr>
      </w:pPr>
      <w:r w:rsidRPr="00B767B2">
        <w:rPr>
          <w:rFonts w:ascii="Arial" w:hAnsi="Arial" w:cs="Arial"/>
          <w:sz w:val="20"/>
          <w:szCs w:val="20"/>
          <w:lang w:val="fr-LU" w:eastAsia="fr-LU" w:bidi="ar-SA"/>
        </w:rPr>
        <w:t>Aussi les travaux prévus par la loi du 17 février 1997 relative à l’installation d’un Musée de la</w:t>
      </w:r>
      <w:r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Forteresse de Luxembourg dans le réduit du Fort Thüngen et celle du 25 avril 2003 relative à la restauration</w:t>
      </w:r>
      <w:r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et à la mise en valeur de certaines parties de la forteresse de Luxembourg pourront-ils être</w:t>
      </w:r>
      <w:r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menés à bon terme.</w:t>
      </w:r>
    </w:p>
    <w:p w:rsidR="00510979" w:rsidRDefault="00B767B2" w:rsidP="00B76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LU" w:eastAsia="fr-LU" w:bidi="ar-SA"/>
        </w:rPr>
      </w:pPr>
      <w:r w:rsidRPr="00B767B2">
        <w:rPr>
          <w:rFonts w:ascii="Arial" w:hAnsi="Arial" w:cs="Arial"/>
          <w:sz w:val="20"/>
          <w:szCs w:val="20"/>
          <w:lang w:val="fr-LU" w:eastAsia="fr-LU" w:bidi="ar-SA"/>
        </w:rPr>
        <w:t>Une nouvelle loi est devenue nécessaire du fait d’une sous-estimation des dépenses prévues par la</w:t>
      </w:r>
      <w:r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loi de 2003. Par la suite, une gestion insuffisante du projet par le maître de l’ouvrage s’y est ajoutée,</w:t>
      </w:r>
      <w:r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de sorte que les états financiers du projet, tels que dressés en 2008 à l’initiative du Ministère de la</w:t>
      </w:r>
      <w:r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Culture, de l’Enseignement supérieur et de la Recherche, avec l’appui d’un consultant externe, démontrent</w:t>
      </w:r>
      <w:r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 xml:space="preserve">un dépassement du seuil légal financier fixé par les deux lois précitées </w:t>
      </w:r>
    </w:p>
    <w:p w:rsidR="00B767B2" w:rsidRPr="00B767B2" w:rsidRDefault="00B767B2" w:rsidP="00B76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LU" w:eastAsia="fr-LU" w:bidi="ar-SA"/>
        </w:rPr>
      </w:pPr>
      <w:r w:rsidRPr="00B767B2">
        <w:rPr>
          <w:rFonts w:ascii="Arial" w:hAnsi="Arial" w:cs="Arial"/>
          <w:sz w:val="20"/>
          <w:szCs w:val="20"/>
          <w:lang w:val="fr-LU" w:eastAsia="fr-LU" w:bidi="ar-SA"/>
        </w:rPr>
        <w:t>L’actualisation de ce montant légal s’est faite selon la méthode habituellement appliquée par l’Administration</w:t>
      </w:r>
      <w:r w:rsidR="00510979"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des bâtiments publics pour les projets de construction.</w:t>
      </w:r>
    </w:p>
    <w:p w:rsidR="00510979" w:rsidRDefault="00510979" w:rsidP="00B76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LU" w:eastAsia="fr-LU" w:bidi="ar-SA"/>
        </w:rPr>
      </w:pPr>
    </w:p>
    <w:p w:rsidR="00B767B2" w:rsidRPr="00B767B2" w:rsidRDefault="00B767B2" w:rsidP="00B76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LU" w:eastAsia="fr-LU" w:bidi="ar-SA"/>
        </w:rPr>
      </w:pPr>
      <w:r w:rsidRPr="00B767B2">
        <w:rPr>
          <w:rFonts w:ascii="Arial" w:hAnsi="Arial" w:cs="Arial"/>
          <w:sz w:val="20"/>
          <w:szCs w:val="20"/>
          <w:lang w:val="fr-LU" w:eastAsia="fr-LU" w:bidi="ar-SA"/>
        </w:rPr>
        <w:t>Le présent projet de loi, faisant suite aux lois de 1997 et 2003 concernant à la fois le volet „réduit</w:t>
      </w:r>
      <w:r w:rsidR="00510979"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du Fort Thüngen“ et le volet „certaines parties de la forteresse de Luxembourg“, pour des raisons de</w:t>
      </w:r>
      <w:r w:rsidR="00510979"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transparence, continue à considérer ces deux volets comme faisant partie d’un ensemble et propose de</w:t>
      </w:r>
      <w:r w:rsidR="00510979"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soumettre à l’autorisation du législateur le coût total, relatif aux deux volets, des nouvelles dépenses</w:t>
      </w:r>
      <w:r w:rsidR="00510979"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à effectuer.</w:t>
      </w:r>
    </w:p>
    <w:p w:rsidR="001510AA" w:rsidRDefault="00B767B2" w:rsidP="00B76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LU" w:eastAsia="fr-LU" w:bidi="ar-SA"/>
        </w:rPr>
      </w:pPr>
      <w:r w:rsidRPr="00B767B2">
        <w:rPr>
          <w:rFonts w:ascii="Arial" w:hAnsi="Arial" w:cs="Arial"/>
          <w:sz w:val="20"/>
          <w:szCs w:val="20"/>
          <w:lang w:val="fr-LU" w:eastAsia="fr-LU" w:bidi="ar-SA"/>
        </w:rPr>
        <w:t>Divers travaux d’achèvement du Fort Thüngen et du circuit Vauban, de même que les travaux relatifs</w:t>
      </w:r>
      <w:r w:rsidR="00510979"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à la muséographie du Musée de la Forteresse ne sont pas encore engagés à l’heure actuelle. La fixation</w:t>
      </w:r>
      <w:r w:rsidR="00510979"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par voie législative d’un nouveau plafond financier doit ainsi tenir compte de la régularisation d’engagements</w:t>
      </w:r>
      <w:r w:rsidR="00510979"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financiers déjà pris et de la conclusion de nouveaux contrats en vue de l’achèvement adéquat</w:t>
      </w:r>
      <w:r w:rsidR="00510979"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 xml:space="preserve">de tout le projet. </w:t>
      </w:r>
    </w:p>
    <w:p w:rsidR="001510AA" w:rsidRDefault="001510AA" w:rsidP="00B76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LU" w:eastAsia="fr-LU" w:bidi="ar-SA"/>
        </w:rPr>
      </w:pPr>
    </w:p>
    <w:p w:rsidR="00B767B2" w:rsidRPr="00B767B2" w:rsidRDefault="00B767B2" w:rsidP="00B76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LU" w:eastAsia="fr-LU" w:bidi="ar-SA"/>
        </w:rPr>
      </w:pPr>
      <w:r w:rsidRPr="00B767B2">
        <w:rPr>
          <w:rFonts w:ascii="Arial" w:hAnsi="Arial" w:cs="Arial"/>
          <w:sz w:val="20"/>
          <w:szCs w:val="20"/>
          <w:lang w:val="fr-LU" w:eastAsia="fr-LU" w:bidi="ar-SA"/>
        </w:rPr>
        <w:t>Dans la suite des travaux déjà réalisés grâce aux deux lois précédentes, toutes les infrastructures et</w:t>
      </w:r>
      <w:r w:rsidR="00510979"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 xml:space="preserve">installations nécessaires à la mise en valeur d’un patrimoine riche et important pour le </w:t>
      </w:r>
      <w:r w:rsidR="00510979">
        <w:rPr>
          <w:rFonts w:ascii="Arial" w:hAnsi="Arial" w:cs="Arial"/>
          <w:sz w:val="20"/>
          <w:szCs w:val="20"/>
          <w:lang w:val="fr-LU" w:eastAsia="fr-LU" w:bidi="ar-SA"/>
        </w:rPr>
        <w:t xml:space="preserve">Luxembourg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pourront ainsi être mises en place et remplir enfin leurs fonctionnalités culturelle, pédagogique et</w:t>
      </w:r>
      <w:r w:rsidR="00510979">
        <w:rPr>
          <w:rFonts w:ascii="Arial" w:hAnsi="Arial" w:cs="Arial"/>
          <w:sz w:val="20"/>
          <w:szCs w:val="20"/>
          <w:lang w:val="fr-LU" w:eastAsia="fr-LU" w:bidi="ar-SA"/>
        </w:rPr>
        <w:t xml:space="preserve"> </w:t>
      </w:r>
      <w:r w:rsidRPr="00B767B2">
        <w:rPr>
          <w:rFonts w:ascii="Arial" w:hAnsi="Arial" w:cs="Arial"/>
          <w:sz w:val="20"/>
          <w:szCs w:val="20"/>
          <w:lang w:val="fr-LU" w:eastAsia="fr-LU" w:bidi="ar-SA"/>
        </w:rPr>
        <w:t>touristique.</w:t>
      </w:r>
    </w:p>
    <w:p w:rsidR="00C87F46" w:rsidRPr="00510979" w:rsidRDefault="00C87F46" w:rsidP="005109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LU" w:eastAsia="fr-LU" w:bidi="ar-SA"/>
        </w:rPr>
      </w:pPr>
    </w:p>
    <w:sectPr w:rsidR="00C87F46" w:rsidRPr="00510979" w:rsidSect="00C87F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45" w:rsidRDefault="003F7845" w:rsidP="00C87F46">
      <w:r>
        <w:separator/>
      </w:r>
    </w:p>
  </w:endnote>
  <w:endnote w:type="continuationSeparator" w:id="0">
    <w:p w:rsidR="003F7845" w:rsidRDefault="003F7845" w:rsidP="00C8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46" w:rsidRDefault="00C87F46">
    <w:pPr>
      <w:pStyle w:val="Pieddepage"/>
      <w:jc w:val="right"/>
    </w:pPr>
    <w:r>
      <w:fldChar w:fldCharType="begin"/>
    </w:r>
    <w:r>
      <w:instrText xml:space="preserve"> </w:instrText>
    </w:r>
    <w:r w:rsidR="00017D5E">
      <w:instrText>PAGE</w:instrText>
    </w:r>
    <w:r>
      <w:instrText xml:space="preserve">   \* MERGEFORMAT </w:instrText>
    </w:r>
    <w:r>
      <w:fldChar w:fldCharType="separate"/>
    </w:r>
    <w:r w:rsidR="00E12380">
      <w:rPr>
        <w:noProof/>
      </w:rPr>
      <w:t>1</w:t>
    </w:r>
    <w:r>
      <w:fldChar w:fldCharType="end"/>
    </w:r>
  </w:p>
  <w:p w:rsidR="00C87F46" w:rsidRDefault="00C87F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45" w:rsidRDefault="003F7845" w:rsidP="00C87F46">
      <w:r>
        <w:separator/>
      </w:r>
    </w:p>
  </w:footnote>
  <w:footnote w:type="continuationSeparator" w:id="0">
    <w:p w:rsidR="003F7845" w:rsidRDefault="003F7845" w:rsidP="00C8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65"/>
    <w:multiLevelType w:val="hybridMultilevel"/>
    <w:tmpl w:val="DD0A468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C4F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7E2A"/>
    <w:multiLevelType w:val="hybridMultilevel"/>
    <w:tmpl w:val="68D8BFBE"/>
    <w:lvl w:ilvl="0" w:tplc="70A28C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4AD6"/>
    <w:multiLevelType w:val="hybridMultilevel"/>
    <w:tmpl w:val="04207738"/>
    <w:lvl w:ilvl="0" w:tplc="0946FC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6107"/>
    <w:multiLevelType w:val="hybridMultilevel"/>
    <w:tmpl w:val="FB6E46D8"/>
    <w:lvl w:ilvl="0" w:tplc="89C264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2E51"/>
    <w:multiLevelType w:val="hybridMultilevel"/>
    <w:tmpl w:val="848C594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54017"/>
    <w:multiLevelType w:val="hybridMultilevel"/>
    <w:tmpl w:val="87DC881E"/>
    <w:lvl w:ilvl="0" w:tplc="8A9E3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4557"/>
    <w:multiLevelType w:val="hybridMultilevel"/>
    <w:tmpl w:val="FD3EDE56"/>
    <w:lvl w:ilvl="0" w:tplc="A1F0EB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7BA"/>
    <w:multiLevelType w:val="hybridMultilevel"/>
    <w:tmpl w:val="6E1C811C"/>
    <w:lvl w:ilvl="0" w:tplc="70A28C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F0B0F"/>
    <w:multiLevelType w:val="hybridMultilevel"/>
    <w:tmpl w:val="84900FC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253BC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14CD9"/>
    <w:multiLevelType w:val="hybridMultilevel"/>
    <w:tmpl w:val="C0783CF0"/>
    <w:lvl w:ilvl="0" w:tplc="0001040C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65500086"/>
    <w:multiLevelType w:val="hybridMultilevel"/>
    <w:tmpl w:val="40102A72"/>
    <w:lvl w:ilvl="0" w:tplc="84FC3E08">
      <w:numFmt w:val="bullet"/>
      <w:lvlText w:val=""/>
      <w:lvlJc w:val="left"/>
      <w:pPr>
        <w:ind w:left="1920" w:hanging="360"/>
      </w:pPr>
      <w:rPr>
        <w:rFonts w:ascii="Symbol" w:eastAsia="Calibri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-Roman" w:hint="default"/>
      </w:rPr>
    </w:lvl>
    <w:lvl w:ilvl="2" w:tplc="1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-Roman" w:hint="default"/>
      </w:rPr>
    </w:lvl>
    <w:lvl w:ilvl="5" w:tplc="1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-Roman" w:hint="default"/>
      </w:rPr>
    </w:lvl>
    <w:lvl w:ilvl="8" w:tplc="1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10404F4"/>
    <w:multiLevelType w:val="hybridMultilevel"/>
    <w:tmpl w:val="829ABAD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254DF"/>
    <w:multiLevelType w:val="hybridMultilevel"/>
    <w:tmpl w:val="848C594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15C03"/>
    <w:multiLevelType w:val="hybridMultilevel"/>
    <w:tmpl w:val="58D4202A"/>
    <w:lvl w:ilvl="0" w:tplc="1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Arial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Arial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Arial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SortMethod w:val="00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19D"/>
    <w:rsid w:val="00014B1A"/>
    <w:rsid w:val="00017D5E"/>
    <w:rsid w:val="00027D1D"/>
    <w:rsid w:val="000E5647"/>
    <w:rsid w:val="000F339E"/>
    <w:rsid w:val="001510AA"/>
    <w:rsid w:val="001823EE"/>
    <w:rsid w:val="001C281A"/>
    <w:rsid w:val="002C71F9"/>
    <w:rsid w:val="002F51D1"/>
    <w:rsid w:val="003075FA"/>
    <w:rsid w:val="0031037B"/>
    <w:rsid w:val="0032493B"/>
    <w:rsid w:val="003F7845"/>
    <w:rsid w:val="004923FA"/>
    <w:rsid w:val="004A72CD"/>
    <w:rsid w:val="00510979"/>
    <w:rsid w:val="00712317"/>
    <w:rsid w:val="00715454"/>
    <w:rsid w:val="00726449"/>
    <w:rsid w:val="007402FE"/>
    <w:rsid w:val="00762809"/>
    <w:rsid w:val="0078099F"/>
    <w:rsid w:val="007D2700"/>
    <w:rsid w:val="00882948"/>
    <w:rsid w:val="00952F30"/>
    <w:rsid w:val="00A53E60"/>
    <w:rsid w:val="00AE6F32"/>
    <w:rsid w:val="00B04313"/>
    <w:rsid w:val="00B26D0C"/>
    <w:rsid w:val="00B767B2"/>
    <w:rsid w:val="00BA4B53"/>
    <w:rsid w:val="00C053F6"/>
    <w:rsid w:val="00C5499D"/>
    <w:rsid w:val="00C87F46"/>
    <w:rsid w:val="00C940FB"/>
    <w:rsid w:val="00E12380"/>
    <w:rsid w:val="00E31EF8"/>
    <w:rsid w:val="00E67A12"/>
    <w:rsid w:val="00EA7A3B"/>
    <w:rsid w:val="00F275D9"/>
    <w:rsid w:val="00F5137A"/>
    <w:rsid w:val="00F810D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18847F-64A5-4C2E-9361-BF48CB9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A02"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65A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C65A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65A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C65A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C65A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C65A0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C65A0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rsid w:val="00C65A0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C65A0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5A0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65A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65A02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65A0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65A02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65A0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65A0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A0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65A02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C65A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65A02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5A0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C65A02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C65A02"/>
    <w:rPr>
      <w:b/>
      <w:bCs/>
    </w:rPr>
  </w:style>
  <w:style w:type="character" w:styleId="Accentuation">
    <w:name w:val="Emphasis"/>
    <w:basedOn w:val="Policepardfaut"/>
    <w:uiPriority w:val="20"/>
    <w:qFormat/>
    <w:rsid w:val="00C65A02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semiHidden/>
    <w:qFormat/>
    <w:rsid w:val="00C65A02"/>
    <w:rPr>
      <w:szCs w:val="32"/>
    </w:rPr>
  </w:style>
  <w:style w:type="paragraph" w:customStyle="1" w:styleId="Listecouleur-Accent11">
    <w:name w:val="Liste couleur - Accent 11"/>
    <w:basedOn w:val="Normal"/>
    <w:uiPriority w:val="34"/>
    <w:qFormat/>
    <w:rsid w:val="00C65A02"/>
    <w:pPr>
      <w:ind w:left="720"/>
      <w:contextualSpacing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C65A02"/>
    <w:rPr>
      <w:i/>
    </w:rPr>
  </w:style>
  <w:style w:type="character" w:customStyle="1" w:styleId="Grillecouleur-Accent1Car">
    <w:name w:val="Grille couleur - Accent 1 Car"/>
    <w:basedOn w:val="Policepardfaut"/>
    <w:link w:val="Grillecouleur-Accent11"/>
    <w:uiPriority w:val="29"/>
    <w:rsid w:val="00C65A02"/>
    <w:rPr>
      <w:i/>
      <w:sz w:val="24"/>
      <w:szCs w:val="24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C65A02"/>
    <w:pPr>
      <w:ind w:left="720" w:right="720"/>
    </w:pPr>
    <w:rPr>
      <w:b/>
      <w:i/>
      <w:szCs w:val="22"/>
    </w:rPr>
  </w:style>
  <w:style w:type="character" w:customStyle="1" w:styleId="Trameclaire-Accent2Car">
    <w:name w:val="Trame claire - Accent 2 Car"/>
    <w:basedOn w:val="Policepardfaut"/>
    <w:link w:val="Trameclaire-Accent21"/>
    <w:uiPriority w:val="30"/>
    <w:rsid w:val="00C65A02"/>
    <w:rPr>
      <w:b/>
      <w:i/>
      <w:sz w:val="24"/>
    </w:rPr>
  </w:style>
  <w:style w:type="character" w:styleId="Emphaseple">
    <w:name w:val="Subtle Emphasis"/>
    <w:uiPriority w:val="19"/>
    <w:qFormat/>
    <w:rsid w:val="00C65A02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C65A0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65A0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65A0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65A02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5A02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B706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0635"/>
    <w:rPr>
      <w:sz w:val="24"/>
      <w:szCs w:val="24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706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635"/>
    <w:rPr>
      <w:sz w:val="24"/>
      <w:szCs w:val="24"/>
      <w:lang w:val="en-US" w:eastAsia="en-US" w:bidi="en-US"/>
    </w:rPr>
  </w:style>
  <w:style w:type="table" w:styleId="Grilledutableau">
    <w:name w:val="Table Grid"/>
    <w:basedOn w:val="TableauNormal"/>
    <w:uiPriority w:val="59"/>
    <w:rsid w:val="00113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semiHidden/>
    <w:rsid w:val="00D825DC"/>
    <w:rPr>
      <w:rFonts w:ascii="Times New Roman" w:eastAsia="Times New Roman" w:hAnsi="Times New Roman"/>
      <w:sz w:val="20"/>
      <w:szCs w:val="20"/>
      <w:lang w:val="fr-FR" w:eastAsia="fr-FR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D825DC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semiHidden/>
    <w:rsid w:val="00D825D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6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626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2274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cp:lastPrinted>2009-11-23T15:14:00Z</cp:lastPrinted>
  <dcterms:created xsi:type="dcterms:W3CDTF">2024-02-21T07:45:00Z</dcterms:created>
  <dcterms:modified xsi:type="dcterms:W3CDTF">2024-02-21T07:45:00Z</dcterms:modified>
</cp:coreProperties>
</file>