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3FC" w:rsidRPr="003627E9" w:rsidRDefault="004E7DA3" w:rsidP="00C433F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627E9">
        <w:rPr>
          <w:b/>
          <w:sz w:val="32"/>
          <w:szCs w:val="32"/>
        </w:rPr>
        <w:t>N° 6027</w:t>
      </w:r>
    </w:p>
    <w:p w:rsidR="00C433FC" w:rsidRPr="003627E9" w:rsidRDefault="00C433FC" w:rsidP="00C433FC">
      <w:pPr>
        <w:pBdr>
          <w:bottom w:val="thinThickSmallGap" w:sz="24" w:space="1" w:color="auto"/>
        </w:pBdr>
        <w:jc w:val="center"/>
        <w:rPr>
          <w:b/>
        </w:rPr>
      </w:pPr>
    </w:p>
    <w:p w:rsidR="00C433FC" w:rsidRPr="003627E9" w:rsidRDefault="00C433FC" w:rsidP="00C433FC">
      <w:pPr>
        <w:jc w:val="both"/>
        <w:rPr>
          <w:b/>
        </w:rPr>
      </w:pPr>
    </w:p>
    <w:p w:rsidR="00C433FC" w:rsidRPr="003627E9" w:rsidRDefault="00C433FC" w:rsidP="00C433FC">
      <w:pPr>
        <w:jc w:val="center"/>
        <w:rPr>
          <w:b/>
          <w:sz w:val="32"/>
          <w:szCs w:val="32"/>
        </w:rPr>
      </w:pPr>
      <w:r w:rsidRPr="003627E9">
        <w:rPr>
          <w:b/>
          <w:sz w:val="32"/>
          <w:szCs w:val="32"/>
        </w:rPr>
        <w:t>Projet de loi</w:t>
      </w:r>
    </w:p>
    <w:p w:rsidR="004E7DA3" w:rsidRPr="003627E9" w:rsidRDefault="004E7DA3" w:rsidP="004E7DA3">
      <w:pPr>
        <w:jc w:val="both"/>
        <w:rPr>
          <w:b/>
        </w:rPr>
      </w:pPr>
    </w:p>
    <w:p w:rsidR="004E7DA3" w:rsidRPr="003627E9" w:rsidRDefault="004E7DA3" w:rsidP="004E7DA3">
      <w:pPr>
        <w:rPr>
          <w:b/>
          <w:sz w:val="28"/>
          <w:szCs w:val="28"/>
        </w:rPr>
      </w:pPr>
      <w:r w:rsidRPr="003627E9">
        <w:rPr>
          <w:b/>
          <w:sz w:val="28"/>
          <w:szCs w:val="28"/>
        </w:rPr>
        <w:t>-</w:t>
      </w:r>
      <w:r w:rsidR="00D6576A" w:rsidRPr="003627E9">
        <w:rPr>
          <w:b/>
          <w:sz w:val="28"/>
          <w:szCs w:val="28"/>
        </w:rPr>
        <w:t xml:space="preserve"> </w:t>
      </w:r>
      <w:r w:rsidRPr="003627E9">
        <w:rPr>
          <w:b/>
          <w:sz w:val="28"/>
          <w:szCs w:val="28"/>
        </w:rPr>
        <w:t>portant transposition</w:t>
      </w:r>
    </w:p>
    <w:p w:rsidR="004E7DA3" w:rsidRPr="003627E9" w:rsidRDefault="004E7DA3" w:rsidP="004E7DA3">
      <w:pPr>
        <w:jc w:val="center"/>
        <w:rPr>
          <w:sz w:val="28"/>
          <w:szCs w:val="28"/>
        </w:rPr>
      </w:pPr>
    </w:p>
    <w:p w:rsidR="004E7DA3" w:rsidRPr="003627E9" w:rsidRDefault="004E7DA3" w:rsidP="004E7DA3">
      <w:pPr>
        <w:jc w:val="both"/>
        <w:rPr>
          <w:b/>
          <w:sz w:val="28"/>
          <w:szCs w:val="28"/>
        </w:rPr>
      </w:pPr>
      <w:r w:rsidRPr="003627E9">
        <w:rPr>
          <w:b/>
          <w:sz w:val="28"/>
          <w:szCs w:val="28"/>
        </w:rPr>
        <w:t>• de la directive 2008/8/CE du Conseil du 12 février 2008 modifiant la directive 2006/112/CE en ce qui con</w:t>
      </w:r>
      <w:r w:rsidR="00F61F22" w:rsidRPr="003627E9">
        <w:rPr>
          <w:b/>
          <w:sz w:val="28"/>
          <w:szCs w:val="28"/>
        </w:rPr>
        <w:t>cerne le lieu des prestations de</w:t>
      </w:r>
      <w:r w:rsidRPr="003627E9">
        <w:rPr>
          <w:b/>
          <w:sz w:val="28"/>
          <w:szCs w:val="28"/>
        </w:rPr>
        <w:t xml:space="preserve"> services</w:t>
      </w:r>
    </w:p>
    <w:p w:rsidR="004E7DA3" w:rsidRPr="003627E9" w:rsidRDefault="004E7DA3" w:rsidP="004E7DA3">
      <w:pPr>
        <w:jc w:val="both"/>
        <w:rPr>
          <w:b/>
          <w:sz w:val="28"/>
          <w:szCs w:val="28"/>
        </w:rPr>
      </w:pPr>
      <w:r w:rsidRPr="003627E9">
        <w:rPr>
          <w:b/>
          <w:sz w:val="28"/>
          <w:szCs w:val="28"/>
        </w:rPr>
        <w:t>• de la directive 2008/9/CE du Conseil du 12 février 2008 définissant les modalités de remboursement de la taxe sur la valeur ajoutée, prévu</w:t>
      </w:r>
      <w:r w:rsidR="00D632EF">
        <w:rPr>
          <w:b/>
          <w:sz w:val="28"/>
          <w:szCs w:val="28"/>
        </w:rPr>
        <w:t>es</w:t>
      </w:r>
      <w:r w:rsidRPr="003627E9">
        <w:rPr>
          <w:b/>
          <w:sz w:val="28"/>
          <w:szCs w:val="28"/>
        </w:rPr>
        <w:t xml:space="preserve"> par la directive 2006/112/CE, en faveur des assujettis qui ne sont pas établis dans l’Etat membre de remboursement, mais dans un autre Etat membre</w:t>
      </w:r>
    </w:p>
    <w:p w:rsidR="004E7DA3" w:rsidRPr="003627E9" w:rsidRDefault="004E7DA3" w:rsidP="004E7DA3">
      <w:pPr>
        <w:jc w:val="both"/>
        <w:rPr>
          <w:b/>
          <w:sz w:val="28"/>
          <w:szCs w:val="28"/>
        </w:rPr>
      </w:pPr>
      <w:r w:rsidRPr="003627E9">
        <w:rPr>
          <w:b/>
          <w:sz w:val="28"/>
          <w:szCs w:val="28"/>
        </w:rPr>
        <w:t>• de la directive 2008/117/CE du Conseil du 16 décembre 2008 modifiant la directive 2006/112/CE en vue de lutter contre la fraude fiscale liée aux opérations intracommunautaires</w:t>
      </w:r>
    </w:p>
    <w:p w:rsidR="004E7DA3" w:rsidRPr="003627E9" w:rsidRDefault="004E7DA3" w:rsidP="004E7DA3">
      <w:pPr>
        <w:jc w:val="both"/>
        <w:rPr>
          <w:b/>
          <w:sz w:val="28"/>
          <w:szCs w:val="28"/>
        </w:rPr>
      </w:pPr>
    </w:p>
    <w:p w:rsidR="00C433FC" w:rsidRDefault="00D6576A" w:rsidP="004E7DA3">
      <w:pPr>
        <w:jc w:val="both"/>
        <w:rPr>
          <w:b/>
          <w:sz w:val="28"/>
          <w:szCs w:val="28"/>
        </w:rPr>
      </w:pPr>
      <w:r w:rsidRPr="003627E9">
        <w:rPr>
          <w:b/>
          <w:sz w:val="28"/>
          <w:szCs w:val="28"/>
        </w:rPr>
        <w:t xml:space="preserve">- </w:t>
      </w:r>
      <w:r w:rsidR="004E7DA3" w:rsidRPr="003627E9">
        <w:rPr>
          <w:b/>
          <w:sz w:val="28"/>
          <w:szCs w:val="28"/>
        </w:rPr>
        <w:t>modifiant la loi modifiée du 12 février 1979 concernant la taxe sur la valeur ajoutée</w:t>
      </w:r>
    </w:p>
    <w:p w:rsidR="00EF37C2" w:rsidRPr="003627E9" w:rsidRDefault="00EF37C2" w:rsidP="00EF37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</w:p>
    <w:p w:rsidR="004E7DA3" w:rsidRPr="003627E9" w:rsidRDefault="004E7DA3" w:rsidP="00C433FC">
      <w:pPr>
        <w:autoSpaceDE w:val="0"/>
        <w:autoSpaceDN w:val="0"/>
        <w:adjustRightInd w:val="0"/>
        <w:jc w:val="both"/>
      </w:pPr>
    </w:p>
    <w:p w:rsidR="00FF0D49" w:rsidRPr="00EF37C2" w:rsidRDefault="00EF37C2" w:rsidP="00C433FC">
      <w:pPr>
        <w:autoSpaceDE w:val="0"/>
        <w:autoSpaceDN w:val="0"/>
        <w:adjustRightInd w:val="0"/>
        <w:jc w:val="both"/>
        <w:rPr>
          <w:b/>
          <w:lang w:val="fr-LU"/>
        </w:rPr>
      </w:pPr>
      <w:r w:rsidRPr="00EF37C2">
        <w:rPr>
          <w:b/>
          <w:lang w:val="fr-LU" w:eastAsia="fr-LU" w:bidi="ar-SA"/>
        </w:rPr>
        <w:t>La directive 2008/8/CE</w:t>
      </w:r>
    </w:p>
    <w:p w:rsidR="00BD33D6" w:rsidRPr="003627E9" w:rsidRDefault="00BD33D6" w:rsidP="00BD33D6">
      <w:pPr>
        <w:autoSpaceDE w:val="0"/>
        <w:autoSpaceDN w:val="0"/>
        <w:adjustRightInd w:val="0"/>
        <w:jc w:val="both"/>
        <w:rPr>
          <w:lang w:val="fr-LU" w:eastAsia="fr-LU" w:bidi="ar-SA"/>
        </w:rPr>
      </w:pPr>
    </w:p>
    <w:p w:rsidR="001F20E0" w:rsidRPr="003627E9" w:rsidRDefault="005013EB" w:rsidP="007B4B4D">
      <w:pPr>
        <w:autoSpaceDE w:val="0"/>
        <w:autoSpaceDN w:val="0"/>
        <w:adjustRightInd w:val="0"/>
        <w:jc w:val="both"/>
        <w:rPr>
          <w:lang w:val="fr-LU" w:eastAsia="fr-LU" w:bidi="ar-SA"/>
        </w:rPr>
      </w:pPr>
      <w:r w:rsidRPr="003627E9">
        <w:rPr>
          <w:lang w:val="fr-LU" w:eastAsia="fr-LU" w:bidi="ar-SA"/>
        </w:rPr>
        <w:t>La directive 2008/8/CE a pour e</w:t>
      </w:r>
      <w:r w:rsidR="00CF05A8">
        <w:rPr>
          <w:lang w:val="fr-LU" w:eastAsia="fr-LU" w:bidi="ar-SA"/>
        </w:rPr>
        <w:t>ffet de modifier, à compter du 1</w:t>
      </w:r>
      <w:r w:rsidRPr="00CF05A8">
        <w:rPr>
          <w:vertAlign w:val="superscript"/>
          <w:lang w:val="fr-LU" w:eastAsia="fr-LU" w:bidi="ar-SA"/>
        </w:rPr>
        <w:t>er</w:t>
      </w:r>
      <w:r w:rsidRPr="003627E9">
        <w:rPr>
          <w:lang w:val="fr-LU" w:eastAsia="fr-LU" w:bidi="ar-SA"/>
        </w:rPr>
        <w:t xml:space="preserve"> janvier 2010, le lieu des prestations de services.</w:t>
      </w:r>
      <w:r w:rsidR="007B4B4D" w:rsidRPr="003627E9">
        <w:rPr>
          <w:lang w:val="fr-LU" w:eastAsia="fr-LU" w:bidi="ar-SA"/>
        </w:rPr>
        <w:t xml:space="preserve"> </w:t>
      </w:r>
      <w:r w:rsidR="001F20E0" w:rsidRPr="003627E9">
        <w:t>Contrairement à la règle générale actuelle</w:t>
      </w:r>
      <w:r w:rsidR="006E4E50" w:rsidRPr="003627E9">
        <w:t xml:space="preserve"> </w:t>
      </w:r>
      <w:r w:rsidR="001F20E0" w:rsidRPr="003627E9">
        <w:t>conformément à laquelle le lieu de la prestation d’un</w:t>
      </w:r>
      <w:r w:rsidR="006E4E50" w:rsidRPr="003627E9">
        <w:t xml:space="preserve"> </w:t>
      </w:r>
      <w:r w:rsidR="001F20E0" w:rsidRPr="003627E9">
        <w:t>service est réputé se situer à l’endroit où le prestataire a établi le siège de son activité économique,</w:t>
      </w:r>
      <w:r w:rsidR="006E4E50" w:rsidRPr="003627E9">
        <w:t xml:space="preserve"> </w:t>
      </w:r>
      <w:r w:rsidR="001F20E0" w:rsidRPr="003627E9">
        <w:t xml:space="preserve">quelle que soit par ailleurs la qualité du preneur (assujetti ou non-assujetti), le </w:t>
      </w:r>
      <w:r w:rsidR="006E4E50" w:rsidRPr="003627E9">
        <w:t>nouveau système introduit</w:t>
      </w:r>
      <w:r w:rsidR="001F20E0" w:rsidRPr="003627E9">
        <w:t xml:space="preserve"> deux règles générales faisant la distinction entre services fournis à un assujetti</w:t>
      </w:r>
      <w:r w:rsidR="006E4E50" w:rsidRPr="003627E9">
        <w:t xml:space="preserve"> </w:t>
      </w:r>
      <w:r w:rsidR="001F20E0" w:rsidRPr="003627E9">
        <w:t>(prestations dites</w:t>
      </w:r>
      <w:r w:rsidR="006E4E50" w:rsidRPr="003627E9">
        <w:rPr>
          <w:lang w:val="fr-LU" w:eastAsia="fr-LU" w:bidi="ar-SA"/>
        </w:rPr>
        <w:t xml:space="preserve"> business to business,</w:t>
      </w:r>
      <w:r w:rsidR="006E4E50" w:rsidRPr="003627E9">
        <w:t xml:space="preserve"> « B2B »</w:t>
      </w:r>
      <w:r w:rsidR="001F20E0" w:rsidRPr="003627E9">
        <w:t>) et services fournis à une personne non assujettie (prestations dites</w:t>
      </w:r>
      <w:r w:rsidR="006E4E50" w:rsidRPr="003627E9">
        <w:t xml:space="preserve"> </w:t>
      </w:r>
      <w:r w:rsidR="006E4E50" w:rsidRPr="003627E9">
        <w:rPr>
          <w:lang w:val="fr-LU" w:eastAsia="fr-LU" w:bidi="ar-SA"/>
        </w:rPr>
        <w:t>business to consumer,</w:t>
      </w:r>
      <w:r w:rsidR="006E4E50" w:rsidRPr="003627E9">
        <w:t xml:space="preserve"> « B2C »</w:t>
      </w:r>
      <w:r w:rsidR="001F20E0" w:rsidRPr="003627E9">
        <w:t>).</w:t>
      </w:r>
    </w:p>
    <w:p w:rsidR="006E4E50" w:rsidRPr="003627E9" w:rsidRDefault="006E4E50" w:rsidP="005013EB">
      <w:pPr>
        <w:autoSpaceDE w:val="0"/>
        <w:autoSpaceDN w:val="0"/>
        <w:adjustRightInd w:val="0"/>
        <w:rPr>
          <w:lang w:val="en-GB" w:eastAsia="fr-LU" w:bidi="ar-SA"/>
        </w:rPr>
      </w:pPr>
    </w:p>
    <w:p w:rsidR="00E60C87" w:rsidRPr="003627E9" w:rsidRDefault="00AB1DFE" w:rsidP="000F31BA">
      <w:pPr>
        <w:autoSpaceDE w:val="0"/>
        <w:autoSpaceDN w:val="0"/>
        <w:adjustRightInd w:val="0"/>
        <w:jc w:val="both"/>
        <w:rPr>
          <w:lang w:val="fr-LU" w:eastAsia="fr-LU" w:bidi="ar-SA"/>
        </w:rPr>
      </w:pPr>
      <w:r w:rsidRPr="003627E9">
        <w:rPr>
          <w:lang w:val="fr-LU" w:eastAsia="fr-LU" w:bidi="ar-SA"/>
        </w:rPr>
        <w:t xml:space="preserve">En ce qui concerne les prestations de services fournies à des assujettis, </w:t>
      </w:r>
      <w:r w:rsidR="00E60C87" w:rsidRPr="003627E9">
        <w:rPr>
          <w:lang w:val="fr-LU" w:eastAsia="fr-LU" w:bidi="ar-SA"/>
        </w:rPr>
        <w:t>le principe de base pour la localisation</w:t>
      </w:r>
      <w:r w:rsidR="00697C39" w:rsidRPr="003627E9">
        <w:rPr>
          <w:lang w:val="fr-LU" w:eastAsia="fr-LU" w:bidi="ar-SA"/>
        </w:rPr>
        <w:t>,</w:t>
      </w:r>
      <w:r w:rsidR="00E60C87" w:rsidRPr="003627E9">
        <w:rPr>
          <w:lang w:val="fr-LU" w:eastAsia="fr-LU" w:bidi="ar-SA"/>
        </w:rPr>
        <w:t xml:space="preserve"> </w:t>
      </w:r>
      <w:r w:rsidR="00927F54" w:rsidRPr="003627E9">
        <w:rPr>
          <w:lang w:val="fr-LU" w:eastAsia="fr-LU" w:bidi="ar-SA"/>
        </w:rPr>
        <w:t>et par conséquent pour l’imposition</w:t>
      </w:r>
      <w:r w:rsidR="00927F54" w:rsidRPr="003627E9">
        <w:rPr>
          <w:b/>
          <w:i/>
          <w:lang w:val="fr-LU" w:eastAsia="fr-LU" w:bidi="ar-SA"/>
        </w:rPr>
        <w:t xml:space="preserve"> </w:t>
      </w:r>
      <w:r w:rsidR="00E60C87" w:rsidRPr="003627E9">
        <w:rPr>
          <w:lang w:val="fr-LU" w:eastAsia="fr-LU" w:bidi="ar-SA"/>
        </w:rPr>
        <w:t xml:space="preserve"> </w:t>
      </w:r>
      <w:r w:rsidR="00927F54" w:rsidRPr="003627E9">
        <w:rPr>
          <w:lang w:val="fr-LU" w:eastAsia="fr-LU" w:bidi="ar-SA"/>
        </w:rPr>
        <w:t>des prestations de services</w:t>
      </w:r>
      <w:r w:rsidR="00697C39" w:rsidRPr="003627E9">
        <w:rPr>
          <w:lang w:val="fr-LU" w:eastAsia="fr-LU" w:bidi="ar-SA"/>
        </w:rPr>
        <w:t>,</w:t>
      </w:r>
      <w:r w:rsidR="00927F54" w:rsidRPr="003627E9">
        <w:rPr>
          <w:b/>
          <w:i/>
          <w:lang w:val="fr-LU" w:eastAsia="fr-LU" w:bidi="ar-SA"/>
        </w:rPr>
        <w:t xml:space="preserve"> </w:t>
      </w:r>
      <w:r w:rsidR="00E60C87" w:rsidRPr="003627E9">
        <w:rPr>
          <w:lang w:val="fr-LU" w:eastAsia="fr-LU" w:bidi="ar-SA"/>
        </w:rPr>
        <w:t>sera fondé sur</w:t>
      </w:r>
      <w:r w:rsidR="002B5CED" w:rsidRPr="003627E9">
        <w:rPr>
          <w:lang w:val="fr-LU" w:eastAsia="fr-LU" w:bidi="ar-SA"/>
        </w:rPr>
        <w:t xml:space="preserve"> </w:t>
      </w:r>
      <w:r w:rsidR="00E60C87" w:rsidRPr="003627E9">
        <w:rPr>
          <w:lang w:val="fr-LU" w:eastAsia="fr-LU" w:bidi="ar-SA"/>
        </w:rPr>
        <w:t>le lieu où le destinataire (le preneur</w:t>
      </w:r>
      <w:r w:rsidR="00697C39" w:rsidRPr="003627E9">
        <w:rPr>
          <w:lang w:val="fr-LU" w:eastAsia="fr-LU" w:bidi="ar-SA"/>
        </w:rPr>
        <w:t xml:space="preserve"> de la prestation de service</w:t>
      </w:r>
      <w:r w:rsidR="00E60C87" w:rsidRPr="003627E9">
        <w:rPr>
          <w:lang w:val="fr-LU" w:eastAsia="fr-LU" w:bidi="ar-SA"/>
        </w:rPr>
        <w:t>) est établi.</w:t>
      </w:r>
    </w:p>
    <w:p w:rsidR="00E60C87" w:rsidRPr="003627E9" w:rsidRDefault="00E60C87" w:rsidP="00AB1DFE">
      <w:pPr>
        <w:autoSpaceDE w:val="0"/>
        <w:autoSpaceDN w:val="0"/>
        <w:adjustRightInd w:val="0"/>
        <w:rPr>
          <w:lang w:val="en-GB" w:eastAsia="fr-LU" w:bidi="ar-SA"/>
        </w:rPr>
      </w:pPr>
    </w:p>
    <w:p w:rsidR="009F6204" w:rsidRPr="003627E9" w:rsidRDefault="00AB1DFE" w:rsidP="00B3399F">
      <w:pPr>
        <w:autoSpaceDE w:val="0"/>
        <w:autoSpaceDN w:val="0"/>
        <w:adjustRightInd w:val="0"/>
        <w:jc w:val="both"/>
        <w:rPr>
          <w:lang w:val="fr-LU" w:eastAsia="fr-LU" w:bidi="ar-SA"/>
        </w:rPr>
      </w:pPr>
      <w:r w:rsidRPr="003627E9">
        <w:rPr>
          <w:lang w:val="fr-LU" w:eastAsia="fr-LU" w:bidi="ar-SA"/>
        </w:rPr>
        <w:t>En ce qui concerne les services fournis à des personnes non assuj</w:t>
      </w:r>
      <w:r w:rsidR="00B3399F" w:rsidRPr="003627E9">
        <w:rPr>
          <w:lang w:val="fr-LU" w:eastAsia="fr-LU" w:bidi="ar-SA"/>
        </w:rPr>
        <w:t>etties</w:t>
      </w:r>
      <w:r w:rsidRPr="003627E9">
        <w:rPr>
          <w:lang w:val="fr-LU" w:eastAsia="fr-LU" w:bidi="ar-SA"/>
        </w:rPr>
        <w:t>, la règle générale  selon laquelle le lieu des prestations de services est celui où le prestataire a établi le siège de son activité économique</w:t>
      </w:r>
      <w:r w:rsidR="009F6204" w:rsidRPr="003627E9">
        <w:rPr>
          <w:lang w:val="fr-LU" w:eastAsia="fr-LU" w:bidi="ar-SA"/>
        </w:rPr>
        <w:t>, continue d’être appliquée</w:t>
      </w:r>
      <w:r w:rsidR="0092428C" w:rsidRPr="003627E9">
        <w:rPr>
          <w:lang w:val="fr-LU" w:eastAsia="fr-LU" w:bidi="ar-SA"/>
        </w:rPr>
        <w:t>.</w:t>
      </w:r>
    </w:p>
    <w:p w:rsidR="00AB1DFE" w:rsidRPr="003627E9" w:rsidRDefault="00AB1DFE" w:rsidP="00B3399F">
      <w:pPr>
        <w:autoSpaceDE w:val="0"/>
        <w:autoSpaceDN w:val="0"/>
        <w:adjustRightInd w:val="0"/>
        <w:jc w:val="both"/>
        <w:rPr>
          <w:lang w:val="fr-LU" w:eastAsia="fr-LU" w:bidi="ar-SA"/>
        </w:rPr>
      </w:pPr>
    </w:p>
    <w:p w:rsidR="00E60C87" w:rsidRPr="00F158A7" w:rsidRDefault="00E60C87" w:rsidP="00F158A7">
      <w:pPr>
        <w:autoSpaceDE w:val="0"/>
        <w:autoSpaceDN w:val="0"/>
        <w:adjustRightInd w:val="0"/>
        <w:jc w:val="both"/>
        <w:rPr>
          <w:lang w:val="fr-LU" w:eastAsia="fr-LU" w:bidi="ar-SA"/>
        </w:rPr>
      </w:pPr>
      <w:r w:rsidRPr="003627E9">
        <w:rPr>
          <w:lang w:val="fr-LU" w:eastAsia="fr-LU" w:bidi="ar-SA"/>
        </w:rPr>
        <w:t xml:space="preserve">Néanmoins, les règles générales </w:t>
      </w:r>
      <w:r w:rsidR="00EF37C2">
        <w:rPr>
          <w:lang w:val="fr-LU" w:eastAsia="fr-LU" w:bidi="ar-SA"/>
        </w:rPr>
        <w:t>connaissent un certain nombre de</w:t>
      </w:r>
      <w:r w:rsidRPr="003627E9">
        <w:rPr>
          <w:lang w:val="fr-LU" w:eastAsia="fr-LU" w:bidi="ar-SA"/>
        </w:rPr>
        <w:t xml:space="preserve"> dérogations </w:t>
      </w:r>
      <w:r w:rsidR="00EF37C2">
        <w:rPr>
          <w:lang w:val="fr-LU" w:eastAsia="fr-LU" w:bidi="ar-SA"/>
        </w:rPr>
        <w:t>concerna</w:t>
      </w:r>
      <w:r w:rsidR="00F158A7">
        <w:rPr>
          <w:lang w:val="fr-LU" w:eastAsia="fr-LU" w:bidi="ar-SA"/>
        </w:rPr>
        <w:t xml:space="preserve">nt : </w:t>
      </w:r>
      <w:r w:rsidRPr="003627E9">
        <w:rPr>
          <w:lang w:val="fr-LU" w:eastAsia="fr-LU" w:bidi="ar-SA"/>
        </w:rPr>
        <w:t>les prestations de services des intermédiaires,</w:t>
      </w:r>
      <w:r w:rsidR="00F158A7">
        <w:rPr>
          <w:lang w:val="fr-LU" w:eastAsia="fr-LU" w:bidi="ar-SA"/>
        </w:rPr>
        <w:t xml:space="preserve"> </w:t>
      </w:r>
      <w:r w:rsidRPr="003627E9">
        <w:rPr>
          <w:lang w:val="fr-LU" w:eastAsia="fr-LU" w:bidi="ar-SA"/>
        </w:rPr>
        <w:t>les prestations de services se rattachant à un immeuble,</w:t>
      </w:r>
      <w:r w:rsidR="00F158A7">
        <w:rPr>
          <w:lang w:val="fr-LU" w:eastAsia="fr-LU" w:bidi="ar-SA"/>
        </w:rPr>
        <w:t xml:space="preserve"> </w:t>
      </w:r>
      <w:r w:rsidRPr="003627E9">
        <w:rPr>
          <w:lang w:val="fr-LU" w:eastAsia="fr-LU" w:bidi="ar-SA"/>
        </w:rPr>
        <w:t>les prestations de transport,</w:t>
      </w:r>
      <w:r w:rsidR="00F158A7">
        <w:rPr>
          <w:lang w:val="fr-LU" w:eastAsia="fr-LU" w:bidi="ar-SA"/>
        </w:rPr>
        <w:t xml:space="preserve"> </w:t>
      </w:r>
      <w:r w:rsidRPr="003627E9">
        <w:rPr>
          <w:lang w:val="fr-LU" w:eastAsia="fr-LU" w:bidi="ar-SA"/>
        </w:rPr>
        <w:t>les prestations de services ayant pour objet des activités culturelles, artistiques, sportives, scientifiques, éducatives, de divertissement ou similaires,</w:t>
      </w:r>
      <w:r w:rsidR="00F158A7">
        <w:rPr>
          <w:lang w:val="fr-LU" w:eastAsia="fr-LU" w:bidi="ar-SA"/>
        </w:rPr>
        <w:t xml:space="preserve"> </w:t>
      </w:r>
      <w:r w:rsidR="00CC3ADC" w:rsidRPr="003627E9">
        <w:rPr>
          <w:lang w:val="fr-LU" w:eastAsia="fr-LU" w:bidi="ar-SA"/>
        </w:rPr>
        <w:t>prestations de services accessoires au transport, telles que le chargement, le déchargement, la manutention et les activités similaires,</w:t>
      </w:r>
      <w:r w:rsidR="00F158A7">
        <w:rPr>
          <w:lang w:val="fr-LU" w:eastAsia="fr-LU" w:bidi="ar-SA"/>
        </w:rPr>
        <w:t xml:space="preserve"> </w:t>
      </w:r>
      <w:r w:rsidRPr="003627E9">
        <w:rPr>
          <w:lang w:val="fr-LU" w:eastAsia="fr-LU" w:bidi="ar-SA"/>
        </w:rPr>
        <w:t>les prestations de services de restaurant ou de restauration,</w:t>
      </w:r>
      <w:r w:rsidR="00F158A7">
        <w:rPr>
          <w:lang w:val="fr-LU" w:eastAsia="fr-LU" w:bidi="ar-SA"/>
        </w:rPr>
        <w:t xml:space="preserve"> </w:t>
      </w:r>
      <w:r w:rsidRPr="003627E9">
        <w:rPr>
          <w:lang w:val="fr-LU" w:eastAsia="fr-LU" w:bidi="ar-SA"/>
        </w:rPr>
        <w:t>les locations de moyens de transport de courte durée,</w:t>
      </w:r>
      <w:r w:rsidR="00F158A7">
        <w:rPr>
          <w:lang w:val="fr-LU" w:eastAsia="fr-LU" w:bidi="ar-SA"/>
        </w:rPr>
        <w:t xml:space="preserve"> </w:t>
      </w:r>
      <w:r w:rsidRPr="00F158A7">
        <w:rPr>
          <w:lang w:val="fr-LU" w:eastAsia="fr-LU" w:bidi="ar-SA"/>
        </w:rPr>
        <w:t xml:space="preserve">les </w:t>
      </w:r>
      <w:r w:rsidRPr="00F158A7">
        <w:rPr>
          <w:lang w:val="fr-LU" w:eastAsia="fr-LU" w:bidi="ar-SA"/>
        </w:rPr>
        <w:lastRenderedPageBreak/>
        <w:t>prestations de service dites „immatérielles“,</w:t>
      </w:r>
      <w:r w:rsidR="00F158A7" w:rsidRPr="00F158A7">
        <w:rPr>
          <w:lang w:val="fr-LU" w:eastAsia="fr-LU" w:bidi="ar-SA"/>
        </w:rPr>
        <w:t xml:space="preserve"> </w:t>
      </w:r>
      <w:r w:rsidRPr="00F158A7">
        <w:rPr>
          <w:lang w:val="fr-LU" w:eastAsia="fr-LU" w:bidi="ar-SA"/>
        </w:rPr>
        <w:t>les prestations fournies par voie électronique, ou encore</w:t>
      </w:r>
      <w:r w:rsidR="00F158A7" w:rsidRPr="00F158A7">
        <w:rPr>
          <w:lang w:val="fr-LU" w:eastAsia="fr-LU" w:bidi="ar-SA"/>
        </w:rPr>
        <w:t xml:space="preserve"> </w:t>
      </w:r>
      <w:r w:rsidRPr="00F158A7">
        <w:rPr>
          <w:lang w:val="fr-LU" w:eastAsia="fr-LU" w:bidi="ar-SA"/>
        </w:rPr>
        <w:t>les prestations de services de télécommunication, de radiodiffusion et de télévision.</w:t>
      </w:r>
    </w:p>
    <w:p w:rsidR="00EF37C2" w:rsidRDefault="00EF37C2" w:rsidP="00AB1DFE">
      <w:pPr>
        <w:autoSpaceDE w:val="0"/>
        <w:autoSpaceDN w:val="0"/>
        <w:adjustRightInd w:val="0"/>
        <w:rPr>
          <w:b/>
          <w:lang w:val="fr-LU" w:eastAsia="fr-LU" w:bidi="ar-SA"/>
        </w:rPr>
      </w:pPr>
    </w:p>
    <w:p w:rsidR="00E60C87" w:rsidRPr="00EF37C2" w:rsidRDefault="00EF37C2" w:rsidP="00AB1DFE">
      <w:pPr>
        <w:autoSpaceDE w:val="0"/>
        <w:autoSpaceDN w:val="0"/>
        <w:adjustRightInd w:val="0"/>
        <w:rPr>
          <w:b/>
          <w:lang w:val="fr-LU" w:eastAsia="fr-LU" w:bidi="ar-SA"/>
        </w:rPr>
      </w:pPr>
      <w:r w:rsidRPr="00EF37C2">
        <w:rPr>
          <w:b/>
          <w:lang w:val="fr-LU" w:eastAsia="fr-LU" w:bidi="ar-SA"/>
        </w:rPr>
        <w:t>La directive 2008/117/CE</w:t>
      </w:r>
    </w:p>
    <w:p w:rsidR="00EF37C2" w:rsidRDefault="00EF37C2" w:rsidP="00B3399F">
      <w:pPr>
        <w:autoSpaceDE w:val="0"/>
        <w:autoSpaceDN w:val="0"/>
        <w:adjustRightInd w:val="0"/>
        <w:jc w:val="both"/>
        <w:rPr>
          <w:lang w:val="fr-LU" w:eastAsia="fr-LU" w:bidi="ar-SA"/>
        </w:rPr>
      </w:pPr>
    </w:p>
    <w:p w:rsidR="00AB1DFE" w:rsidRPr="003627E9" w:rsidRDefault="00EF37C2" w:rsidP="00B3399F">
      <w:pPr>
        <w:autoSpaceDE w:val="0"/>
        <w:autoSpaceDN w:val="0"/>
        <w:adjustRightInd w:val="0"/>
        <w:jc w:val="both"/>
        <w:rPr>
          <w:b/>
          <w:i/>
          <w:lang w:val="fr-LU" w:eastAsia="fr-LU" w:bidi="ar-SA"/>
        </w:rPr>
      </w:pPr>
      <w:r>
        <w:rPr>
          <w:lang w:val="fr-LU" w:eastAsia="fr-LU" w:bidi="ar-SA"/>
        </w:rPr>
        <w:t>La</w:t>
      </w:r>
      <w:r w:rsidR="00F61129" w:rsidRPr="003627E9">
        <w:rPr>
          <w:lang w:val="fr-LU" w:eastAsia="fr-LU" w:bidi="ar-SA"/>
        </w:rPr>
        <w:t xml:space="preserve"> directive 2008/117/</w:t>
      </w:r>
      <w:r w:rsidR="00AB1DFE" w:rsidRPr="003627E9">
        <w:rPr>
          <w:lang w:val="fr-LU" w:eastAsia="fr-LU" w:bidi="ar-SA"/>
        </w:rPr>
        <w:t xml:space="preserve">CE dispose </w:t>
      </w:r>
      <w:r w:rsidR="004D3673" w:rsidRPr="003627E9">
        <w:rPr>
          <w:lang w:val="fr-LU" w:eastAsia="fr-LU" w:bidi="ar-SA"/>
        </w:rPr>
        <w:t xml:space="preserve"> </w:t>
      </w:r>
      <w:r w:rsidR="00AB1DFE" w:rsidRPr="003627E9">
        <w:rPr>
          <w:lang w:val="fr-LU" w:eastAsia="fr-LU" w:bidi="ar-SA"/>
        </w:rPr>
        <w:t>que tout assujetti</w:t>
      </w:r>
      <w:r w:rsidR="00C16AD1" w:rsidRPr="003627E9">
        <w:rPr>
          <w:lang w:val="fr-LU" w:eastAsia="fr-LU" w:bidi="ar-SA"/>
        </w:rPr>
        <w:t xml:space="preserve"> identifié à la TVA doit soumettre à l’administration de son pays d’origine</w:t>
      </w:r>
      <w:r w:rsidR="00AB1DFE" w:rsidRPr="003627E9">
        <w:rPr>
          <w:lang w:val="fr-LU" w:eastAsia="fr-LU" w:bidi="ar-SA"/>
        </w:rPr>
        <w:t xml:space="preserve"> un état récapitulatif des assujettis et des personnes morales non assujetties identifiés à la TVA dans d’autres Eta</w:t>
      </w:r>
      <w:r w:rsidR="00C16AD1" w:rsidRPr="003627E9">
        <w:rPr>
          <w:lang w:val="fr-LU" w:eastAsia="fr-LU" w:bidi="ar-SA"/>
        </w:rPr>
        <w:t>ts membres, auxquels il a presté</w:t>
      </w:r>
      <w:r w:rsidR="00AB1DFE" w:rsidRPr="003627E9">
        <w:rPr>
          <w:lang w:val="fr-LU" w:eastAsia="fr-LU" w:bidi="ar-SA"/>
        </w:rPr>
        <w:t xml:space="preserve"> des services imposables qui relèvent du mécanisme d’autoliquidation.</w:t>
      </w:r>
      <w:r w:rsidR="00C16AD1" w:rsidRPr="003627E9">
        <w:rPr>
          <w:lang w:val="fr-LU" w:eastAsia="fr-LU" w:bidi="ar-SA"/>
        </w:rPr>
        <w:t xml:space="preserve"> </w:t>
      </w:r>
      <w:r w:rsidR="007916CC" w:rsidRPr="003627E9">
        <w:rPr>
          <w:lang w:val="fr-LU" w:eastAsia="fr-LU" w:bidi="ar-SA"/>
        </w:rPr>
        <w:t>Les états récapitu</w:t>
      </w:r>
      <w:r w:rsidR="007A27CF" w:rsidRPr="003627E9">
        <w:rPr>
          <w:lang w:val="fr-LU" w:eastAsia="fr-LU" w:bidi="ar-SA"/>
        </w:rPr>
        <w:t>latifs doivent</w:t>
      </w:r>
      <w:r w:rsidR="007916CC" w:rsidRPr="003627E9">
        <w:rPr>
          <w:lang w:val="fr-LU" w:eastAsia="fr-LU" w:bidi="ar-SA"/>
        </w:rPr>
        <w:t xml:space="preserve"> </w:t>
      </w:r>
      <w:r w:rsidR="004D3673" w:rsidRPr="003627E9">
        <w:rPr>
          <w:lang w:val="fr-LU" w:eastAsia="fr-LU" w:bidi="ar-SA"/>
        </w:rPr>
        <w:t xml:space="preserve">en principe </w:t>
      </w:r>
      <w:r w:rsidR="007916CC" w:rsidRPr="003627E9">
        <w:rPr>
          <w:lang w:val="fr-LU" w:eastAsia="fr-LU" w:bidi="ar-SA"/>
        </w:rPr>
        <w:t>être soumis</w:t>
      </w:r>
      <w:r w:rsidR="007A27CF" w:rsidRPr="003627E9">
        <w:rPr>
          <w:lang w:val="fr-LU" w:eastAsia="fr-LU" w:bidi="ar-SA"/>
        </w:rPr>
        <w:t xml:space="preserve"> à l’administration chaque mois. L</w:t>
      </w:r>
      <w:r w:rsidR="00C16AD1" w:rsidRPr="003627E9">
        <w:rPr>
          <w:lang w:val="fr-LU" w:eastAsia="fr-LU" w:bidi="ar-SA"/>
        </w:rPr>
        <w:t>es informations</w:t>
      </w:r>
      <w:r w:rsidR="007A27CF" w:rsidRPr="003627E9">
        <w:rPr>
          <w:lang w:val="fr-LU" w:eastAsia="fr-LU" w:bidi="ar-SA"/>
        </w:rPr>
        <w:t xml:space="preserve"> y renseignées</w:t>
      </w:r>
      <w:r w:rsidR="00C16AD1" w:rsidRPr="003627E9">
        <w:rPr>
          <w:lang w:val="fr-LU" w:eastAsia="fr-LU" w:bidi="ar-SA"/>
        </w:rPr>
        <w:t xml:space="preserve"> seront désormais recoupées à un rythme beaucoup plus rapide avec celles</w:t>
      </w:r>
      <w:r w:rsidR="007916CC" w:rsidRPr="003627E9">
        <w:rPr>
          <w:lang w:val="fr-LU" w:eastAsia="fr-LU" w:bidi="ar-SA"/>
        </w:rPr>
        <w:t xml:space="preserve"> des déclarations déposées par le preneur des prestations de services du pays de destination</w:t>
      </w:r>
      <w:r w:rsidR="007A27CF" w:rsidRPr="003627E9">
        <w:rPr>
          <w:lang w:val="fr-LU" w:eastAsia="fr-LU" w:bidi="ar-SA"/>
        </w:rPr>
        <w:t xml:space="preserve">. </w:t>
      </w:r>
      <w:r w:rsidR="009264E5" w:rsidRPr="003627E9">
        <w:rPr>
          <w:lang w:val="fr-LU" w:eastAsia="fr-LU" w:bidi="ar-SA"/>
        </w:rPr>
        <w:t xml:space="preserve"> Cette accélération des rythmes de dépôts des déclarations</w:t>
      </w:r>
      <w:r w:rsidR="007916CC" w:rsidRPr="003627E9">
        <w:rPr>
          <w:lang w:val="fr-LU" w:eastAsia="fr-LU" w:bidi="ar-SA"/>
        </w:rPr>
        <w:t xml:space="preserve"> </w:t>
      </w:r>
      <w:r w:rsidR="009264E5" w:rsidRPr="003627E9">
        <w:rPr>
          <w:lang w:val="fr-LU" w:eastAsia="fr-LU" w:bidi="ar-SA"/>
        </w:rPr>
        <w:t xml:space="preserve">permet </w:t>
      </w:r>
      <w:r w:rsidR="007916CC" w:rsidRPr="003627E9">
        <w:rPr>
          <w:lang w:val="fr-LU" w:eastAsia="fr-LU" w:bidi="ar-SA"/>
        </w:rPr>
        <w:t xml:space="preserve">de lutter </w:t>
      </w:r>
      <w:r w:rsidR="009264E5" w:rsidRPr="003627E9">
        <w:rPr>
          <w:lang w:val="fr-LU" w:eastAsia="fr-LU" w:bidi="ar-SA"/>
        </w:rPr>
        <w:t xml:space="preserve">plus efficacement </w:t>
      </w:r>
      <w:r w:rsidR="007916CC" w:rsidRPr="003627E9">
        <w:rPr>
          <w:lang w:val="fr-LU" w:eastAsia="fr-LU" w:bidi="ar-SA"/>
        </w:rPr>
        <w:t>contre la fraude</w:t>
      </w:r>
      <w:r w:rsidR="009264E5" w:rsidRPr="003627E9">
        <w:rPr>
          <w:lang w:val="fr-LU" w:eastAsia="fr-LU" w:bidi="ar-SA"/>
        </w:rPr>
        <w:t xml:space="preserve"> fiscale</w:t>
      </w:r>
      <w:r w:rsidR="001522F8" w:rsidRPr="003627E9">
        <w:rPr>
          <w:lang w:val="fr-LU" w:eastAsia="fr-LU" w:bidi="ar-SA"/>
        </w:rPr>
        <w:t xml:space="preserve">. Les administrations nationales respectives </w:t>
      </w:r>
      <w:r w:rsidR="009264E5" w:rsidRPr="003627E9">
        <w:rPr>
          <w:lang w:val="fr-LU" w:eastAsia="fr-LU" w:bidi="ar-SA"/>
        </w:rPr>
        <w:t xml:space="preserve">par contre </w:t>
      </w:r>
      <w:r w:rsidR="001522F8" w:rsidRPr="003627E9">
        <w:rPr>
          <w:lang w:val="fr-LU" w:eastAsia="fr-LU" w:bidi="ar-SA"/>
        </w:rPr>
        <w:t xml:space="preserve">seront mises </w:t>
      </w:r>
      <w:r w:rsidR="004D3673" w:rsidRPr="003627E9">
        <w:rPr>
          <w:lang w:val="fr-LU" w:eastAsia="fr-LU" w:bidi="ar-SA"/>
        </w:rPr>
        <w:t xml:space="preserve">davantage </w:t>
      </w:r>
      <w:r w:rsidR="001522F8" w:rsidRPr="003627E9">
        <w:rPr>
          <w:lang w:val="fr-LU" w:eastAsia="fr-LU" w:bidi="ar-SA"/>
        </w:rPr>
        <w:t>s</w:t>
      </w:r>
      <w:r w:rsidR="00F13895">
        <w:rPr>
          <w:lang w:val="fr-LU" w:eastAsia="fr-LU" w:bidi="ar-SA"/>
        </w:rPr>
        <w:t>ous</w:t>
      </w:r>
      <w:r w:rsidR="004D3673" w:rsidRPr="003627E9">
        <w:rPr>
          <w:lang w:val="fr-LU" w:eastAsia="fr-LU" w:bidi="ar-SA"/>
        </w:rPr>
        <w:t xml:space="preserve"> pression</w:t>
      </w:r>
      <w:r w:rsidR="001522F8" w:rsidRPr="003627E9">
        <w:rPr>
          <w:lang w:val="fr-LU" w:eastAsia="fr-LU" w:bidi="ar-SA"/>
        </w:rPr>
        <w:t>.</w:t>
      </w:r>
    </w:p>
    <w:p w:rsidR="00AB1DFE" w:rsidRPr="003627E9" w:rsidRDefault="00AB1DFE" w:rsidP="00B3399F">
      <w:pPr>
        <w:autoSpaceDE w:val="0"/>
        <w:autoSpaceDN w:val="0"/>
        <w:adjustRightInd w:val="0"/>
        <w:jc w:val="both"/>
        <w:rPr>
          <w:i/>
          <w:lang w:val="fr-LU" w:eastAsia="fr-LU" w:bidi="ar-SA"/>
        </w:rPr>
      </w:pPr>
    </w:p>
    <w:p w:rsidR="0038742C" w:rsidRPr="003627E9" w:rsidRDefault="00EF37C2" w:rsidP="00EF37C2">
      <w:pPr>
        <w:autoSpaceDE w:val="0"/>
        <w:autoSpaceDN w:val="0"/>
        <w:adjustRightInd w:val="0"/>
        <w:rPr>
          <w:b/>
          <w:bCs/>
          <w:lang w:val="fr-LU" w:eastAsia="fr-LU" w:bidi="ar-SA"/>
        </w:rPr>
      </w:pPr>
      <w:r>
        <w:rPr>
          <w:b/>
          <w:bCs/>
          <w:lang w:val="fr-LU" w:eastAsia="fr-LU" w:bidi="ar-SA"/>
        </w:rPr>
        <w:t>L</w:t>
      </w:r>
      <w:r w:rsidR="0038742C" w:rsidRPr="003627E9">
        <w:rPr>
          <w:b/>
          <w:bCs/>
          <w:lang w:val="fr-LU" w:eastAsia="fr-LU" w:bidi="ar-SA"/>
        </w:rPr>
        <w:t>a directive 2008/9/CE</w:t>
      </w:r>
      <w:r w:rsidR="00F61129" w:rsidRPr="003627E9">
        <w:rPr>
          <w:b/>
          <w:bCs/>
          <w:lang w:val="fr-LU" w:eastAsia="fr-LU" w:bidi="ar-SA"/>
        </w:rPr>
        <w:t xml:space="preserve"> </w:t>
      </w:r>
    </w:p>
    <w:p w:rsidR="0038742C" w:rsidRPr="003627E9" w:rsidRDefault="0038742C" w:rsidP="0038742C">
      <w:pPr>
        <w:autoSpaceDE w:val="0"/>
        <w:autoSpaceDN w:val="0"/>
        <w:adjustRightInd w:val="0"/>
        <w:rPr>
          <w:lang w:val="fr-LU" w:eastAsia="fr-LU" w:bidi="ar-SA"/>
        </w:rPr>
      </w:pPr>
    </w:p>
    <w:p w:rsidR="0038742C" w:rsidRPr="003627E9" w:rsidRDefault="0038742C" w:rsidP="001F20E0">
      <w:pPr>
        <w:autoSpaceDE w:val="0"/>
        <w:autoSpaceDN w:val="0"/>
        <w:adjustRightInd w:val="0"/>
        <w:jc w:val="both"/>
        <w:rPr>
          <w:lang w:val="fr-LU" w:eastAsia="fr-LU" w:bidi="ar-SA"/>
        </w:rPr>
      </w:pPr>
      <w:r w:rsidRPr="003627E9">
        <w:rPr>
          <w:lang w:val="fr-LU" w:eastAsia="fr-LU" w:bidi="ar-SA"/>
        </w:rPr>
        <w:t xml:space="preserve">Le second volet du projet de loi lié au „paquet TVA“ concerne les modalités de remboursement de la taxe sur la valeur ajoutée pour les assujettis non établis à l’intérieur du pays, mais dans un autre Etat membre, et la réduction des délais dans lesquels les décisions relatives aux demandes de remboursement doivent être </w:t>
      </w:r>
      <w:r w:rsidR="001F20E0" w:rsidRPr="003627E9">
        <w:rPr>
          <w:lang w:val="fr-LU" w:eastAsia="fr-LU" w:bidi="ar-SA"/>
        </w:rPr>
        <w:t>prises par les administrations</w:t>
      </w:r>
      <w:r w:rsidRPr="003627E9">
        <w:rPr>
          <w:lang w:val="fr-LU" w:eastAsia="fr-LU" w:bidi="ar-SA"/>
        </w:rPr>
        <w:t>.</w:t>
      </w:r>
    </w:p>
    <w:p w:rsidR="0038742C" w:rsidRPr="003627E9" w:rsidRDefault="0038742C" w:rsidP="001F20E0">
      <w:pPr>
        <w:autoSpaceDE w:val="0"/>
        <w:autoSpaceDN w:val="0"/>
        <w:adjustRightInd w:val="0"/>
        <w:jc w:val="both"/>
        <w:rPr>
          <w:lang w:val="fr-LU" w:eastAsia="fr-LU" w:bidi="ar-SA"/>
        </w:rPr>
      </w:pPr>
    </w:p>
    <w:p w:rsidR="0038742C" w:rsidRDefault="0038742C" w:rsidP="001F20E0">
      <w:pPr>
        <w:autoSpaceDE w:val="0"/>
        <w:autoSpaceDN w:val="0"/>
        <w:adjustRightInd w:val="0"/>
        <w:jc w:val="both"/>
        <w:rPr>
          <w:lang w:val="fr-LU" w:eastAsia="fr-LU" w:bidi="ar-SA"/>
        </w:rPr>
      </w:pPr>
      <w:r w:rsidRPr="003627E9">
        <w:rPr>
          <w:lang w:val="fr-LU" w:eastAsia="fr-LU" w:bidi="ar-SA"/>
        </w:rPr>
        <w:t>La directive 2008/9/CE du Conseil du 12 février 2008 a pour objectif de moderniser la procédure de remboursement en ayant notamment recours à une procédure électronique</w:t>
      </w:r>
      <w:r w:rsidR="005266E0" w:rsidRPr="003627E9">
        <w:rPr>
          <w:lang w:val="fr-LU" w:eastAsia="fr-LU" w:bidi="ar-SA"/>
        </w:rPr>
        <w:t xml:space="preserve">. Par ailleurs, </w:t>
      </w:r>
      <w:r w:rsidRPr="003627E9">
        <w:rPr>
          <w:lang w:val="fr-LU" w:eastAsia="fr-LU" w:bidi="ar-SA"/>
        </w:rPr>
        <w:t>l’intervention en amont de l’Etat membre d’établissement de l’assujetti</w:t>
      </w:r>
      <w:r w:rsidR="00E87618" w:rsidRPr="003627E9">
        <w:rPr>
          <w:lang w:val="fr-LU" w:eastAsia="fr-LU" w:bidi="ar-SA"/>
        </w:rPr>
        <w:t xml:space="preserve"> requérant le remboursement  devrait contribuer à</w:t>
      </w:r>
      <w:r w:rsidRPr="003627E9">
        <w:rPr>
          <w:lang w:val="fr-LU" w:eastAsia="fr-LU" w:bidi="ar-SA"/>
        </w:rPr>
        <w:t xml:space="preserve"> sécuriser et accélérer le traitement des demandes de remboursement. </w:t>
      </w:r>
    </w:p>
    <w:p w:rsidR="003B28B8" w:rsidRPr="003627E9" w:rsidRDefault="003B28B8" w:rsidP="001F20E0">
      <w:pPr>
        <w:autoSpaceDE w:val="0"/>
        <w:autoSpaceDN w:val="0"/>
        <w:adjustRightInd w:val="0"/>
        <w:jc w:val="both"/>
        <w:rPr>
          <w:lang w:val="fr-LU" w:eastAsia="fr-LU" w:bidi="ar-SA"/>
        </w:rPr>
      </w:pPr>
    </w:p>
    <w:p w:rsidR="00C433FC" w:rsidRPr="003627E9" w:rsidRDefault="00C433FC" w:rsidP="00C433FC">
      <w:pPr>
        <w:jc w:val="both"/>
      </w:pPr>
    </w:p>
    <w:sectPr w:rsidR="00C433FC" w:rsidRPr="003627E9" w:rsidSect="00C433F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D40" w:rsidRDefault="00C44D40">
      <w:r>
        <w:separator/>
      </w:r>
    </w:p>
  </w:endnote>
  <w:endnote w:type="continuationSeparator" w:id="0">
    <w:p w:rsidR="00C44D40" w:rsidRDefault="00C4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3FC" w:rsidRDefault="00C433FC" w:rsidP="00C433F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70430">
      <w:rPr>
        <w:rStyle w:val="Numrodepage"/>
        <w:noProof/>
      </w:rPr>
      <w:t>9</w:t>
    </w:r>
    <w:r>
      <w:rPr>
        <w:rStyle w:val="Numrodepage"/>
      </w:rPr>
      <w:fldChar w:fldCharType="end"/>
    </w:r>
  </w:p>
  <w:p w:rsidR="00C433FC" w:rsidRDefault="00C433F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3FC" w:rsidRDefault="00C433FC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1330">
      <w:rPr>
        <w:noProof/>
      </w:rPr>
      <w:t>2</w:t>
    </w:r>
    <w:r>
      <w:fldChar w:fldCharType="end"/>
    </w:r>
  </w:p>
  <w:p w:rsidR="00C433FC" w:rsidRDefault="00C433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D40" w:rsidRDefault="00C44D40">
      <w:r>
        <w:separator/>
      </w:r>
    </w:p>
  </w:footnote>
  <w:footnote w:type="continuationSeparator" w:id="0">
    <w:p w:rsidR="00C44D40" w:rsidRDefault="00C44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67E7D3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B551D"/>
    <w:multiLevelType w:val="multilevel"/>
    <w:tmpl w:val="F80C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8973F6"/>
    <w:multiLevelType w:val="hybridMultilevel"/>
    <w:tmpl w:val="750A66A6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63E00"/>
    <w:multiLevelType w:val="hybridMultilevel"/>
    <w:tmpl w:val="D01071EE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3162D"/>
    <w:multiLevelType w:val="hybridMultilevel"/>
    <w:tmpl w:val="8326CA6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54507B"/>
    <w:multiLevelType w:val="hybridMultilevel"/>
    <w:tmpl w:val="8D021A7C"/>
    <w:lvl w:ilvl="0" w:tplc="CE78520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b/>
        <w:i w:val="0"/>
        <w:sz w:val="16"/>
      </w:rPr>
    </w:lvl>
    <w:lvl w:ilvl="1" w:tplc="123A7F2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 w:hint="default"/>
        <w:b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441A8"/>
    <w:multiLevelType w:val="hybridMultilevel"/>
    <w:tmpl w:val="95B00EF2"/>
    <w:lvl w:ilvl="0" w:tplc="5478F5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07F94"/>
    <w:multiLevelType w:val="hybridMultilevel"/>
    <w:tmpl w:val="A4A4AD8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95787F"/>
    <w:multiLevelType w:val="hybridMultilevel"/>
    <w:tmpl w:val="4FB6761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3237D0"/>
    <w:multiLevelType w:val="hybridMultilevel"/>
    <w:tmpl w:val="90F81BE0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66048"/>
    <w:multiLevelType w:val="hybridMultilevel"/>
    <w:tmpl w:val="95348A46"/>
    <w:lvl w:ilvl="0" w:tplc="44C494B0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DC03F05"/>
    <w:multiLevelType w:val="hybridMultilevel"/>
    <w:tmpl w:val="15465FA0"/>
    <w:lvl w:ilvl="0" w:tplc="44BAFF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E3591"/>
    <w:multiLevelType w:val="hybridMultilevel"/>
    <w:tmpl w:val="CE925374"/>
    <w:lvl w:ilvl="0" w:tplc="6F9AFD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D6273"/>
    <w:multiLevelType w:val="hybridMultilevel"/>
    <w:tmpl w:val="DD2C83CC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40A79"/>
    <w:multiLevelType w:val="hybridMultilevel"/>
    <w:tmpl w:val="AF82A040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4342B"/>
    <w:multiLevelType w:val="hybridMultilevel"/>
    <w:tmpl w:val="0CA6BA1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65750"/>
    <w:multiLevelType w:val="hybridMultilevel"/>
    <w:tmpl w:val="B900EB6E"/>
    <w:lvl w:ilvl="0" w:tplc="44C494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B7FD7"/>
    <w:multiLevelType w:val="hybridMultilevel"/>
    <w:tmpl w:val="92009C08"/>
    <w:lvl w:ilvl="0" w:tplc="096499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60A4D"/>
    <w:multiLevelType w:val="hybridMultilevel"/>
    <w:tmpl w:val="BC9C2F4A"/>
    <w:lvl w:ilvl="0" w:tplc="186083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305B3"/>
    <w:multiLevelType w:val="hybridMultilevel"/>
    <w:tmpl w:val="E55ED3CC"/>
    <w:lvl w:ilvl="0" w:tplc="186083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D2011"/>
    <w:multiLevelType w:val="hybridMultilevel"/>
    <w:tmpl w:val="C6F2DE24"/>
    <w:lvl w:ilvl="0" w:tplc="D4D2140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0"/>
  </w:num>
  <w:num w:numId="5">
    <w:abstractNumId w:val="8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1"/>
  </w:num>
  <w:num w:numId="11">
    <w:abstractNumId w:val="19"/>
  </w:num>
  <w:num w:numId="12">
    <w:abstractNumId w:val="18"/>
  </w:num>
  <w:num w:numId="13">
    <w:abstractNumId w:val="15"/>
  </w:num>
  <w:num w:numId="14">
    <w:abstractNumId w:val="9"/>
  </w:num>
  <w:num w:numId="15">
    <w:abstractNumId w:val="13"/>
  </w:num>
  <w:num w:numId="16">
    <w:abstractNumId w:val="14"/>
  </w:num>
  <w:num w:numId="17">
    <w:abstractNumId w:val="5"/>
  </w:num>
  <w:num w:numId="18">
    <w:abstractNumId w:val="11"/>
  </w:num>
  <w:num w:numId="19">
    <w:abstractNumId w:val="3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fr-LU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de-L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2DA"/>
    <w:rsid w:val="00011834"/>
    <w:rsid w:val="0002507D"/>
    <w:rsid w:val="0003149E"/>
    <w:rsid w:val="000400E3"/>
    <w:rsid w:val="00054C31"/>
    <w:rsid w:val="0006141B"/>
    <w:rsid w:val="00067C34"/>
    <w:rsid w:val="000A4B59"/>
    <w:rsid w:val="000D08A5"/>
    <w:rsid w:val="000E40C4"/>
    <w:rsid w:val="000E4769"/>
    <w:rsid w:val="000F25B7"/>
    <w:rsid w:val="000F31BA"/>
    <w:rsid w:val="001173D4"/>
    <w:rsid w:val="001256F0"/>
    <w:rsid w:val="001522F8"/>
    <w:rsid w:val="00155A7C"/>
    <w:rsid w:val="00170430"/>
    <w:rsid w:val="001A1456"/>
    <w:rsid w:val="001F20E0"/>
    <w:rsid w:val="00200B86"/>
    <w:rsid w:val="00252582"/>
    <w:rsid w:val="002860AA"/>
    <w:rsid w:val="0029502A"/>
    <w:rsid w:val="002A7C52"/>
    <w:rsid w:val="002B5BE9"/>
    <w:rsid w:val="002B5CED"/>
    <w:rsid w:val="002D5D44"/>
    <w:rsid w:val="002D6107"/>
    <w:rsid w:val="002F26DE"/>
    <w:rsid w:val="003028EA"/>
    <w:rsid w:val="0030660D"/>
    <w:rsid w:val="0031244A"/>
    <w:rsid w:val="00324CEB"/>
    <w:rsid w:val="00336DDF"/>
    <w:rsid w:val="003621EE"/>
    <w:rsid w:val="003627E9"/>
    <w:rsid w:val="00364401"/>
    <w:rsid w:val="00385ED1"/>
    <w:rsid w:val="0038742C"/>
    <w:rsid w:val="003A6A92"/>
    <w:rsid w:val="003B28B8"/>
    <w:rsid w:val="003B34D4"/>
    <w:rsid w:val="003C544A"/>
    <w:rsid w:val="003F6963"/>
    <w:rsid w:val="004026DD"/>
    <w:rsid w:val="00410152"/>
    <w:rsid w:val="00411CA2"/>
    <w:rsid w:val="00423E08"/>
    <w:rsid w:val="00435D2B"/>
    <w:rsid w:val="004363FA"/>
    <w:rsid w:val="00455C1C"/>
    <w:rsid w:val="004560B0"/>
    <w:rsid w:val="004818D9"/>
    <w:rsid w:val="00485FFA"/>
    <w:rsid w:val="004A02DB"/>
    <w:rsid w:val="004C08A4"/>
    <w:rsid w:val="004C77A6"/>
    <w:rsid w:val="004D3673"/>
    <w:rsid w:val="004E4B4D"/>
    <w:rsid w:val="004E7DA3"/>
    <w:rsid w:val="005013EB"/>
    <w:rsid w:val="00505764"/>
    <w:rsid w:val="005119B6"/>
    <w:rsid w:val="00513FF2"/>
    <w:rsid w:val="00514F43"/>
    <w:rsid w:val="005266E0"/>
    <w:rsid w:val="00557B8D"/>
    <w:rsid w:val="00576206"/>
    <w:rsid w:val="005D0227"/>
    <w:rsid w:val="00603DF6"/>
    <w:rsid w:val="00606694"/>
    <w:rsid w:val="00613AE8"/>
    <w:rsid w:val="00615B5D"/>
    <w:rsid w:val="00620FB0"/>
    <w:rsid w:val="00623343"/>
    <w:rsid w:val="00630249"/>
    <w:rsid w:val="00645AB6"/>
    <w:rsid w:val="00665BF7"/>
    <w:rsid w:val="0066788B"/>
    <w:rsid w:val="00683A8C"/>
    <w:rsid w:val="00687ED1"/>
    <w:rsid w:val="00691982"/>
    <w:rsid w:val="00697C39"/>
    <w:rsid w:val="006E4E50"/>
    <w:rsid w:val="006E74C1"/>
    <w:rsid w:val="00745201"/>
    <w:rsid w:val="0074541B"/>
    <w:rsid w:val="00767F72"/>
    <w:rsid w:val="00771330"/>
    <w:rsid w:val="007767F9"/>
    <w:rsid w:val="007916CC"/>
    <w:rsid w:val="007955BA"/>
    <w:rsid w:val="007A27CF"/>
    <w:rsid w:val="007B0128"/>
    <w:rsid w:val="007B4B4D"/>
    <w:rsid w:val="007E01BB"/>
    <w:rsid w:val="007E597F"/>
    <w:rsid w:val="007F6B75"/>
    <w:rsid w:val="008033AE"/>
    <w:rsid w:val="00832C8F"/>
    <w:rsid w:val="00856A2C"/>
    <w:rsid w:val="00890D72"/>
    <w:rsid w:val="008A773B"/>
    <w:rsid w:val="008E3D7F"/>
    <w:rsid w:val="008F2FAB"/>
    <w:rsid w:val="0092428C"/>
    <w:rsid w:val="009264E5"/>
    <w:rsid w:val="00927F54"/>
    <w:rsid w:val="00932304"/>
    <w:rsid w:val="0095010F"/>
    <w:rsid w:val="009535E4"/>
    <w:rsid w:val="00970537"/>
    <w:rsid w:val="0099007D"/>
    <w:rsid w:val="009B41FF"/>
    <w:rsid w:val="009E0B36"/>
    <w:rsid w:val="009E744E"/>
    <w:rsid w:val="009F6204"/>
    <w:rsid w:val="00A10237"/>
    <w:rsid w:val="00A44C6B"/>
    <w:rsid w:val="00A65B49"/>
    <w:rsid w:val="00A6714E"/>
    <w:rsid w:val="00A82E2A"/>
    <w:rsid w:val="00A93099"/>
    <w:rsid w:val="00AB1DFE"/>
    <w:rsid w:val="00AB7379"/>
    <w:rsid w:val="00AD4C12"/>
    <w:rsid w:val="00AE1BAB"/>
    <w:rsid w:val="00B01F08"/>
    <w:rsid w:val="00B3399F"/>
    <w:rsid w:val="00B35A96"/>
    <w:rsid w:val="00B6238E"/>
    <w:rsid w:val="00B64B70"/>
    <w:rsid w:val="00B66A59"/>
    <w:rsid w:val="00B72B27"/>
    <w:rsid w:val="00B83B58"/>
    <w:rsid w:val="00BD33D6"/>
    <w:rsid w:val="00C12371"/>
    <w:rsid w:val="00C16AD1"/>
    <w:rsid w:val="00C24504"/>
    <w:rsid w:val="00C27E47"/>
    <w:rsid w:val="00C30A5E"/>
    <w:rsid w:val="00C327B6"/>
    <w:rsid w:val="00C433FC"/>
    <w:rsid w:val="00C44D40"/>
    <w:rsid w:val="00C46407"/>
    <w:rsid w:val="00C469A1"/>
    <w:rsid w:val="00C50658"/>
    <w:rsid w:val="00C865F7"/>
    <w:rsid w:val="00C97074"/>
    <w:rsid w:val="00CC3ADC"/>
    <w:rsid w:val="00CF05A8"/>
    <w:rsid w:val="00CF59ED"/>
    <w:rsid w:val="00D000D5"/>
    <w:rsid w:val="00D3323B"/>
    <w:rsid w:val="00D42D38"/>
    <w:rsid w:val="00D563F8"/>
    <w:rsid w:val="00D632EF"/>
    <w:rsid w:val="00D6576A"/>
    <w:rsid w:val="00D853DE"/>
    <w:rsid w:val="00D90E8A"/>
    <w:rsid w:val="00D91322"/>
    <w:rsid w:val="00D95288"/>
    <w:rsid w:val="00DB60D1"/>
    <w:rsid w:val="00DC6A3B"/>
    <w:rsid w:val="00DC77DB"/>
    <w:rsid w:val="00DD704A"/>
    <w:rsid w:val="00DF3043"/>
    <w:rsid w:val="00DF7852"/>
    <w:rsid w:val="00E17B34"/>
    <w:rsid w:val="00E37F04"/>
    <w:rsid w:val="00E607AF"/>
    <w:rsid w:val="00E60C87"/>
    <w:rsid w:val="00E6759A"/>
    <w:rsid w:val="00E70FDC"/>
    <w:rsid w:val="00E87618"/>
    <w:rsid w:val="00EB1F16"/>
    <w:rsid w:val="00EE3CA2"/>
    <w:rsid w:val="00EE4D50"/>
    <w:rsid w:val="00EF37C2"/>
    <w:rsid w:val="00F006FA"/>
    <w:rsid w:val="00F13895"/>
    <w:rsid w:val="00F158A7"/>
    <w:rsid w:val="00F37220"/>
    <w:rsid w:val="00F514A9"/>
    <w:rsid w:val="00F60EC3"/>
    <w:rsid w:val="00F61129"/>
    <w:rsid w:val="00F61F22"/>
    <w:rsid w:val="00F9000A"/>
    <w:rsid w:val="00F979EA"/>
    <w:rsid w:val="00FA274F"/>
    <w:rsid w:val="00FA79D3"/>
    <w:rsid w:val="00FB3DBD"/>
    <w:rsid w:val="00FC665B"/>
    <w:rsid w:val="00FC7777"/>
    <w:rsid w:val="00FD33BB"/>
    <w:rsid w:val="00FD4B88"/>
    <w:rsid w:val="00FE2EED"/>
    <w:rsid w:val="00FE4EBA"/>
    <w:rsid w:val="00FF0D49"/>
    <w:rsid w:val="00FF24DA"/>
    <w:rsid w:val="00F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812BA0-3F74-4141-93E8-CA074C62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210"/>
    <w:rPr>
      <w:sz w:val="24"/>
      <w:szCs w:val="24"/>
      <w:lang w:val="fr-FR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772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9772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9772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9772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9772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977210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qFormat/>
    <w:rsid w:val="00977210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qFormat/>
    <w:rsid w:val="00977210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qFormat/>
    <w:rsid w:val="009772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uiPriority w:val="99"/>
    <w:rsid w:val="00D47E3B"/>
    <w:pPr>
      <w:spacing w:before="100" w:beforeAutospacing="1" w:after="100" w:afterAutospacing="1"/>
    </w:pPr>
    <w:rPr>
      <w:rFonts w:ascii="Arial" w:hAnsi="Arial" w:cs="Arial"/>
      <w:color w:val="52728A"/>
      <w:sz w:val="17"/>
      <w:szCs w:val="17"/>
    </w:rPr>
  </w:style>
  <w:style w:type="paragraph" w:styleId="Notedebasdepage">
    <w:name w:val="footnote text"/>
    <w:basedOn w:val="Normal"/>
    <w:semiHidden/>
    <w:rsid w:val="007D53F3"/>
    <w:rPr>
      <w:sz w:val="20"/>
      <w:szCs w:val="20"/>
    </w:rPr>
  </w:style>
  <w:style w:type="character" w:styleId="Appelnotedebasdep">
    <w:name w:val="footnote reference"/>
    <w:basedOn w:val="Policepardfaut"/>
    <w:semiHidden/>
    <w:rsid w:val="007D53F3"/>
    <w:rPr>
      <w:vertAlign w:val="superscript"/>
    </w:rPr>
  </w:style>
  <w:style w:type="table" w:styleId="Grilledutableau">
    <w:name w:val="Table Grid"/>
    <w:basedOn w:val="TableauNormal"/>
    <w:rsid w:val="00176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6413E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rsid w:val="008B350E"/>
    <w:pPr>
      <w:jc w:val="both"/>
    </w:pPr>
    <w:rPr>
      <w:rFonts w:ascii="Courier New" w:hAnsi="Courier New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B5766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57666"/>
  </w:style>
  <w:style w:type="paragraph" w:styleId="Listepuces">
    <w:name w:val="List Bullet"/>
    <w:basedOn w:val="Normal"/>
    <w:autoRedefine/>
    <w:rsid w:val="00C2249C"/>
    <w:pPr>
      <w:numPr>
        <w:numId w:val="6"/>
      </w:numPr>
    </w:pPr>
  </w:style>
  <w:style w:type="character" w:styleId="Marquedecommentaire">
    <w:name w:val="annotation reference"/>
    <w:basedOn w:val="Policepardfaut"/>
    <w:semiHidden/>
    <w:rsid w:val="00871A05"/>
    <w:rPr>
      <w:sz w:val="16"/>
      <w:szCs w:val="16"/>
    </w:rPr>
  </w:style>
  <w:style w:type="paragraph" w:styleId="Commentaire">
    <w:name w:val="annotation text"/>
    <w:basedOn w:val="Normal"/>
    <w:semiHidden/>
    <w:rsid w:val="00871A05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871A05"/>
    <w:rPr>
      <w:b/>
      <w:bCs/>
    </w:rPr>
  </w:style>
  <w:style w:type="character" w:styleId="Lienhypertexte">
    <w:name w:val="Hyperlink"/>
    <w:basedOn w:val="Policepardfaut"/>
    <w:uiPriority w:val="99"/>
    <w:rsid w:val="00870222"/>
    <w:rPr>
      <w:color w:val="0000FF"/>
      <w:u w:val="single"/>
    </w:rPr>
  </w:style>
  <w:style w:type="character" w:customStyle="1" w:styleId="romain1">
    <w:name w:val="romain1"/>
    <w:basedOn w:val="Policepardfaut"/>
    <w:rsid w:val="00870222"/>
    <w:rPr>
      <w:smallCaps/>
    </w:rPr>
  </w:style>
  <w:style w:type="character" w:styleId="lev">
    <w:name w:val="Strong"/>
    <w:basedOn w:val="Policepardfaut"/>
    <w:uiPriority w:val="22"/>
    <w:qFormat/>
    <w:rsid w:val="00977210"/>
    <w:rPr>
      <w:b/>
      <w:bCs/>
    </w:rPr>
  </w:style>
  <w:style w:type="paragraph" w:styleId="En-tte">
    <w:name w:val="header"/>
    <w:basedOn w:val="Normal"/>
    <w:link w:val="En-tteCar"/>
    <w:rsid w:val="003938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9380F"/>
    <w:rPr>
      <w:sz w:val="24"/>
      <w:szCs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39380F"/>
    <w:rPr>
      <w:sz w:val="24"/>
      <w:szCs w:val="24"/>
      <w:lang w:val="fr-FR" w:eastAsia="fr-FR"/>
    </w:rPr>
  </w:style>
  <w:style w:type="paragraph" w:styleId="Notedefin">
    <w:name w:val="endnote text"/>
    <w:basedOn w:val="Normal"/>
    <w:link w:val="NotedefinCar"/>
    <w:rsid w:val="00B16D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16D97"/>
    <w:rPr>
      <w:lang w:val="fr-FR" w:eastAsia="fr-FR"/>
    </w:rPr>
  </w:style>
  <w:style w:type="character" w:styleId="Appeldenotedefin">
    <w:name w:val="endnote reference"/>
    <w:basedOn w:val="Policepardfaut"/>
    <w:rsid w:val="00B16D97"/>
    <w:rPr>
      <w:vertAlign w:val="superscript"/>
    </w:rPr>
  </w:style>
  <w:style w:type="character" w:styleId="Accentuation">
    <w:name w:val="Emphasis"/>
    <w:basedOn w:val="Policepardfaut"/>
    <w:uiPriority w:val="20"/>
    <w:qFormat/>
    <w:rsid w:val="00977210"/>
    <w:rPr>
      <w:rFonts w:ascii="Calibri" w:hAnsi="Calibri"/>
      <w:b/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97721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97721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77210"/>
    <w:rPr>
      <w:rFonts w:ascii="Cambria" w:eastAsia="Times New Roman" w:hAnsi="Cambria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977210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77210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977210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977210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977210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977210"/>
    <w:rPr>
      <w:rFonts w:ascii="Cambria" w:eastAsia="Times New Roman" w:hAnsi="Cambria"/>
    </w:rPr>
  </w:style>
  <w:style w:type="paragraph" w:styleId="Titre">
    <w:name w:val="Title"/>
    <w:basedOn w:val="Normal"/>
    <w:next w:val="Normal"/>
    <w:link w:val="TitreCar"/>
    <w:uiPriority w:val="10"/>
    <w:qFormat/>
    <w:rsid w:val="009772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977210"/>
    <w:rPr>
      <w:rFonts w:ascii="Cambria" w:eastAsia="Times New Roman" w:hAnsi="Cambria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7210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basedOn w:val="Policepardfaut"/>
    <w:link w:val="Sous-titre"/>
    <w:uiPriority w:val="11"/>
    <w:rsid w:val="00977210"/>
    <w:rPr>
      <w:rFonts w:ascii="Cambria" w:eastAsia="Times New Roman" w:hAnsi="Cambria"/>
      <w:sz w:val="24"/>
      <w:szCs w:val="24"/>
    </w:rPr>
  </w:style>
  <w:style w:type="paragraph" w:customStyle="1" w:styleId="NoSpacing">
    <w:name w:val="No Spacing"/>
    <w:basedOn w:val="Normal"/>
    <w:uiPriority w:val="1"/>
    <w:qFormat/>
    <w:rsid w:val="00977210"/>
    <w:rPr>
      <w:szCs w:val="32"/>
    </w:rPr>
  </w:style>
  <w:style w:type="paragraph" w:styleId="Grillemoyenne1-Accent2">
    <w:name w:val="Medium Grid 1 Accent 2"/>
    <w:basedOn w:val="Normal"/>
    <w:uiPriority w:val="34"/>
    <w:qFormat/>
    <w:rsid w:val="00977210"/>
    <w:pPr>
      <w:ind w:left="720"/>
      <w:contextualSpacing/>
    </w:pPr>
  </w:style>
  <w:style w:type="paragraph" w:styleId="Grillemoyenne2-Accent2">
    <w:name w:val="Medium Grid 2 Accent 2"/>
    <w:basedOn w:val="Normal"/>
    <w:next w:val="Normal"/>
    <w:link w:val="Grillemoyenne2-Accent2Car"/>
    <w:uiPriority w:val="29"/>
    <w:qFormat/>
    <w:rsid w:val="00977210"/>
    <w:rPr>
      <w:i/>
    </w:rPr>
  </w:style>
  <w:style w:type="character" w:customStyle="1" w:styleId="Grillemoyenne2-Accent2Car">
    <w:name w:val="Grille moyenne 2 - Accent 2 Car"/>
    <w:basedOn w:val="Policepardfaut"/>
    <w:link w:val="Grillemoyenne2-Accent2"/>
    <w:uiPriority w:val="29"/>
    <w:rsid w:val="00977210"/>
    <w:rPr>
      <w:i/>
      <w:sz w:val="24"/>
      <w:szCs w:val="24"/>
    </w:rPr>
  </w:style>
  <w:style w:type="paragraph" w:styleId="Grillemoyenne3-Accent2">
    <w:name w:val="Medium Grid 3 Accent 2"/>
    <w:basedOn w:val="Normal"/>
    <w:next w:val="Normal"/>
    <w:link w:val="Grillemoyenne3-Accent2Car"/>
    <w:uiPriority w:val="30"/>
    <w:qFormat/>
    <w:rsid w:val="00977210"/>
    <w:pPr>
      <w:ind w:left="720" w:right="720"/>
    </w:pPr>
    <w:rPr>
      <w:b/>
      <w:i/>
      <w:szCs w:val="22"/>
    </w:rPr>
  </w:style>
  <w:style w:type="character" w:customStyle="1" w:styleId="Grillemoyenne3-Accent2Car">
    <w:name w:val="Grille moyenne 3 - Accent 2 Car"/>
    <w:basedOn w:val="Policepardfaut"/>
    <w:link w:val="Grillemoyenne3-Accent2"/>
    <w:uiPriority w:val="30"/>
    <w:rsid w:val="00977210"/>
    <w:rPr>
      <w:b/>
      <w:i/>
      <w:sz w:val="24"/>
    </w:rPr>
  </w:style>
  <w:style w:type="character" w:customStyle="1" w:styleId="SubtleEmphasis">
    <w:name w:val="Subtle Emphasis"/>
    <w:uiPriority w:val="19"/>
    <w:qFormat/>
    <w:rsid w:val="00977210"/>
    <w:rPr>
      <w:i/>
      <w:color w:val="5A5A5A"/>
    </w:rPr>
  </w:style>
  <w:style w:type="character" w:customStyle="1" w:styleId="IntenseEmphasis">
    <w:name w:val="Intense Emphasis"/>
    <w:basedOn w:val="Policepardfaut"/>
    <w:uiPriority w:val="21"/>
    <w:qFormat/>
    <w:rsid w:val="00977210"/>
    <w:rPr>
      <w:b/>
      <w:i/>
      <w:sz w:val="24"/>
      <w:szCs w:val="24"/>
      <w:u w:val="single"/>
    </w:rPr>
  </w:style>
  <w:style w:type="character" w:customStyle="1" w:styleId="SubtleReference">
    <w:name w:val="Subtle Reference"/>
    <w:basedOn w:val="Policepardfaut"/>
    <w:uiPriority w:val="31"/>
    <w:qFormat/>
    <w:rsid w:val="00977210"/>
    <w:rPr>
      <w:sz w:val="24"/>
      <w:szCs w:val="24"/>
      <w:u w:val="single"/>
    </w:rPr>
  </w:style>
  <w:style w:type="character" w:customStyle="1" w:styleId="IntenseReference">
    <w:name w:val="Intense Reference"/>
    <w:basedOn w:val="Policepardfaut"/>
    <w:uiPriority w:val="32"/>
    <w:qFormat/>
    <w:rsid w:val="00977210"/>
    <w:rPr>
      <w:b/>
      <w:sz w:val="24"/>
      <w:u w:val="single"/>
    </w:rPr>
  </w:style>
  <w:style w:type="character" w:customStyle="1" w:styleId="BookTitle">
    <w:name w:val="Book Title"/>
    <w:basedOn w:val="Policepardfaut"/>
    <w:uiPriority w:val="33"/>
    <w:qFormat/>
    <w:rsid w:val="00977210"/>
    <w:rPr>
      <w:rFonts w:ascii="Cambria" w:eastAsia="Times New Roman" w:hAnsi="Cambria"/>
      <w:b/>
      <w:i/>
      <w:sz w:val="24"/>
      <w:szCs w:val="24"/>
    </w:rPr>
  </w:style>
  <w:style w:type="paragraph" w:customStyle="1" w:styleId="TOCHeading">
    <w:name w:val="TOC Heading"/>
    <w:basedOn w:val="Titre1"/>
    <w:next w:val="Normal"/>
    <w:uiPriority w:val="39"/>
    <w:semiHidden/>
    <w:unhideWhenUsed/>
    <w:qFormat/>
    <w:rsid w:val="00977210"/>
    <w:pPr>
      <w:outlineLvl w:val="9"/>
    </w:pPr>
  </w:style>
  <w:style w:type="paragraph" w:customStyle="1" w:styleId="NoSpacing0">
    <w:name w:val="No Spacing"/>
    <w:uiPriority w:val="1"/>
    <w:qFormat/>
    <w:rsid w:val="004F18A8"/>
    <w:rPr>
      <w:sz w:val="24"/>
      <w:szCs w:val="24"/>
      <w:lang w:val="fr-FR" w:eastAsia="en-US" w:bidi="en-US"/>
    </w:rPr>
  </w:style>
  <w:style w:type="paragraph" w:styleId="Corpsdetexte2">
    <w:name w:val="Body Text 2"/>
    <w:basedOn w:val="Normal"/>
    <w:link w:val="Corpsdetexte2Car"/>
    <w:rsid w:val="00DF7852"/>
    <w:pPr>
      <w:jc w:val="both"/>
    </w:pPr>
    <w:rPr>
      <w:szCs w:val="20"/>
      <w:lang w:bidi="ar-SA"/>
    </w:rPr>
  </w:style>
  <w:style w:type="character" w:customStyle="1" w:styleId="Corpsdetexte2Car">
    <w:name w:val="Corps de texte 2 Car"/>
    <w:basedOn w:val="Policepardfaut"/>
    <w:link w:val="Corpsdetexte2"/>
    <w:rsid w:val="00DF7852"/>
    <w:rPr>
      <w:sz w:val="24"/>
      <w:lang w:val="fr-FR" w:eastAsia="en-US"/>
    </w:rPr>
  </w:style>
  <w:style w:type="paragraph" w:styleId="Retraitcorpsdetexte">
    <w:name w:val="Body Text Indent"/>
    <w:basedOn w:val="Normal"/>
    <w:link w:val="RetraitcorpsdetexteCar"/>
    <w:rsid w:val="0029502A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29502A"/>
    <w:rPr>
      <w:sz w:val="24"/>
      <w:szCs w:val="24"/>
      <w:lang w:val="fr-F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9325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4075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319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2774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1174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830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856E2-F32D-4CA4-9AB6-D666ECF0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3742</Characters>
  <Application>Microsoft Office Word</Application>
  <DocSecurity>4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N° 5121</vt:lpstr>
      <vt:lpstr>N° 5121</vt:lpstr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 5121</dc:title>
  <dc:subject/>
  <dc:creator>Yves Huberty</dc:creator>
  <cp:keywords/>
  <cp:lastModifiedBy>SYSTEM</cp:lastModifiedBy>
  <cp:revision>2</cp:revision>
  <cp:lastPrinted>2009-10-21T06:38:00Z</cp:lastPrinted>
  <dcterms:created xsi:type="dcterms:W3CDTF">2024-02-21T07:44:00Z</dcterms:created>
  <dcterms:modified xsi:type="dcterms:W3CDTF">2024-02-21T07:44:00Z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521965571</vt:i4>
  </property>
  <property fmtid="{D5CDD505-2E9C-101B-9397-08002B2CF9AE}" pid="3" name="_EmailSubject">
    <vt:lpwstr>Projet de Loi SICAR</vt:lpwstr>
  </property>
  <property fmtid="{D5CDD505-2E9C-101B-9397-08002B2CF9AE}" pid="4" name="_AuthorEmail">
    <vt:lpwstr>SimoneRoeder@EHP.LU</vt:lpwstr>
  </property>
  <property fmtid="{D5CDD505-2E9C-101B-9397-08002B2CF9AE}" pid="5" name="_AuthorEmailDisplayName">
    <vt:lpwstr>ROEDER Simone</vt:lpwstr>
  </property>
  <property fmtid="{D5CDD505-2E9C-101B-9397-08002B2CF9AE}" pid="6" name="_ReviewingToolsShownOnce">
    <vt:lpwstr/>
  </property>
</Properties>
</file>