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25" w:rsidRPr="00F87625" w:rsidRDefault="00F87625" w:rsidP="00F87625">
      <w:pPr>
        <w:autoSpaceDE w:val="0"/>
        <w:autoSpaceDN w:val="0"/>
        <w:adjustRightInd w:val="0"/>
        <w:spacing w:after="0" w:line="240" w:lineRule="auto"/>
        <w:jc w:val="both"/>
        <w:rPr>
          <w:rFonts w:ascii="Arial" w:hAnsi="Arial" w:cs="Arial"/>
          <w:b/>
          <w:u w:val="single"/>
        </w:rPr>
      </w:pPr>
      <w:bookmarkStart w:id="0" w:name="_GoBack"/>
      <w:bookmarkEnd w:id="0"/>
      <w:r w:rsidRPr="00F87625">
        <w:rPr>
          <w:rFonts w:ascii="Arial" w:hAnsi="Arial" w:cs="Arial"/>
          <w:b/>
          <w:u w:val="single"/>
        </w:rPr>
        <w:t>Résumé du projet de loi 5930</w:t>
      </w:r>
    </w:p>
    <w:p w:rsidR="006D3A30" w:rsidRPr="00F87625" w:rsidRDefault="006D3A30" w:rsidP="00F87625">
      <w:pPr>
        <w:autoSpaceDE w:val="0"/>
        <w:autoSpaceDN w:val="0"/>
        <w:adjustRightInd w:val="0"/>
        <w:spacing w:after="0" w:line="240" w:lineRule="auto"/>
        <w:jc w:val="both"/>
        <w:rPr>
          <w:rFonts w:ascii="Arial" w:hAnsi="Arial" w:cs="Arial"/>
        </w:rPr>
      </w:pPr>
    </w:p>
    <w:p w:rsidR="00F87625" w:rsidRPr="00FD67A1" w:rsidRDefault="00F87625" w:rsidP="00F87625">
      <w:pPr>
        <w:autoSpaceDE w:val="0"/>
        <w:autoSpaceDN w:val="0"/>
        <w:adjustRightInd w:val="0"/>
        <w:spacing w:after="0" w:line="240" w:lineRule="auto"/>
        <w:jc w:val="both"/>
        <w:rPr>
          <w:rFonts w:ascii="Arial" w:hAnsi="Arial" w:cs="Arial"/>
        </w:rPr>
      </w:pPr>
      <w:r w:rsidRPr="00FD67A1">
        <w:rPr>
          <w:rFonts w:ascii="Arial" w:hAnsi="Arial" w:cs="Arial"/>
        </w:rPr>
        <w:t>L</w:t>
      </w:r>
      <w:r w:rsidR="00CA5D2A" w:rsidRPr="00FD67A1">
        <w:rPr>
          <w:rFonts w:ascii="Arial" w:hAnsi="Arial" w:cs="Arial"/>
        </w:rPr>
        <w:t>e projet de</w:t>
      </w:r>
      <w:r w:rsidRPr="00FD67A1">
        <w:rPr>
          <w:rFonts w:ascii="Arial" w:hAnsi="Arial" w:cs="Arial"/>
        </w:rPr>
        <w:t xml:space="preserve"> loi </w:t>
      </w:r>
      <w:r w:rsidR="006D3A30" w:rsidRPr="00FD67A1">
        <w:rPr>
          <w:rFonts w:ascii="Arial" w:hAnsi="Arial" w:cs="Arial"/>
        </w:rPr>
        <w:t xml:space="preserve">vise à approuver </w:t>
      </w:r>
      <w:r w:rsidRPr="00FD67A1">
        <w:rPr>
          <w:rFonts w:ascii="Arial" w:hAnsi="Arial" w:cs="Arial"/>
        </w:rPr>
        <w:t xml:space="preserve">l’Acte de Genève qui </w:t>
      </w:r>
      <w:r w:rsidR="006D3A30" w:rsidRPr="00FD67A1">
        <w:rPr>
          <w:rFonts w:ascii="Arial" w:hAnsi="Arial" w:cs="Arial"/>
        </w:rPr>
        <w:t>modifie le système d’enregistrement international des dessins et modèles industriels mis en place par</w:t>
      </w:r>
      <w:r w:rsidRPr="00FD67A1">
        <w:rPr>
          <w:rFonts w:ascii="Arial" w:hAnsi="Arial" w:cs="Arial"/>
        </w:rPr>
        <w:t xml:space="preserve"> l’Arrangement de La Haye</w:t>
      </w:r>
      <w:r w:rsidR="006D3A30" w:rsidRPr="00FD67A1">
        <w:rPr>
          <w:rFonts w:ascii="Arial" w:hAnsi="Arial" w:cs="Arial"/>
        </w:rPr>
        <w:t xml:space="preserve"> de</w:t>
      </w:r>
      <w:r w:rsidRPr="00FD67A1">
        <w:rPr>
          <w:rFonts w:ascii="Arial" w:hAnsi="Arial" w:cs="Arial"/>
        </w:rPr>
        <w:t xml:space="preserve"> 1925</w:t>
      </w:r>
      <w:r w:rsidR="006D3A30" w:rsidRPr="00FD67A1">
        <w:rPr>
          <w:rFonts w:ascii="Arial" w:hAnsi="Arial" w:cs="Arial"/>
        </w:rPr>
        <w:t xml:space="preserve">. </w:t>
      </w:r>
    </w:p>
    <w:p w:rsidR="00012077" w:rsidRPr="00FD67A1" w:rsidRDefault="00012077" w:rsidP="00F87625">
      <w:pPr>
        <w:autoSpaceDE w:val="0"/>
        <w:autoSpaceDN w:val="0"/>
        <w:adjustRightInd w:val="0"/>
        <w:spacing w:after="0" w:line="240" w:lineRule="auto"/>
        <w:jc w:val="both"/>
        <w:rPr>
          <w:rFonts w:ascii="Arial" w:hAnsi="Arial" w:cs="Arial"/>
        </w:rPr>
      </w:pPr>
    </w:p>
    <w:p w:rsidR="0020125B" w:rsidRDefault="00012077" w:rsidP="00A65711">
      <w:pPr>
        <w:autoSpaceDE w:val="0"/>
        <w:autoSpaceDN w:val="0"/>
        <w:adjustRightInd w:val="0"/>
        <w:spacing w:after="0" w:line="240" w:lineRule="auto"/>
        <w:jc w:val="both"/>
        <w:rPr>
          <w:rFonts w:ascii="Arial" w:hAnsi="Arial" w:cs="Arial"/>
          <w:lang w:eastAsia="fr-LU"/>
        </w:rPr>
      </w:pPr>
      <w:r w:rsidRPr="00FD67A1">
        <w:rPr>
          <w:rFonts w:ascii="Arial" w:hAnsi="Arial" w:cs="Arial"/>
          <w:lang w:eastAsia="fr-LU"/>
        </w:rPr>
        <w:t>Outre les créations techniques et les marques, l</w:t>
      </w:r>
      <w:r w:rsidR="00A65711" w:rsidRPr="00FD67A1">
        <w:rPr>
          <w:rFonts w:ascii="Arial" w:hAnsi="Arial" w:cs="Arial"/>
          <w:lang w:eastAsia="fr-LU"/>
        </w:rPr>
        <w:t>e droit de la propriété industrielle</w:t>
      </w:r>
      <w:r w:rsidRPr="00FD67A1">
        <w:rPr>
          <w:rFonts w:ascii="Arial" w:hAnsi="Arial" w:cs="Arial"/>
          <w:lang w:eastAsia="fr-LU"/>
        </w:rPr>
        <w:t xml:space="preserve"> </w:t>
      </w:r>
      <w:r w:rsidR="00A65711" w:rsidRPr="00FD67A1">
        <w:rPr>
          <w:rFonts w:ascii="Arial" w:hAnsi="Arial" w:cs="Arial"/>
          <w:lang w:eastAsia="fr-LU"/>
        </w:rPr>
        <w:t>protège les créations de type ornemental au titre des dessins et modèles industriels. Les dessins et modèles concernent l’aspect esthétique d’</w:t>
      </w:r>
      <w:r w:rsidRPr="00FD67A1">
        <w:rPr>
          <w:rFonts w:ascii="Arial" w:hAnsi="Arial" w:cs="Arial"/>
          <w:lang w:eastAsia="fr-LU"/>
        </w:rPr>
        <w:t>un produit</w:t>
      </w:r>
      <w:r w:rsidR="00A65711" w:rsidRPr="00FD67A1">
        <w:rPr>
          <w:rFonts w:ascii="Arial" w:hAnsi="Arial" w:cs="Arial"/>
          <w:lang w:eastAsia="fr-LU"/>
        </w:rPr>
        <w:t xml:space="preserve">. Les dessins sont des figures à deux dimensions, alors que les modèles sont des figures à trois dimensions. </w:t>
      </w:r>
    </w:p>
    <w:p w:rsidR="0020125B" w:rsidRDefault="0020125B" w:rsidP="00A65711">
      <w:pPr>
        <w:autoSpaceDE w:val="0"/>
        <w:autoSpaceDN w:val="0"/>
        <w:adjustRightInd w:val="0"/>
        <w:spacing w:after="0" w:line="240" w:lineRule="auto"/>
        <w:jc w:val="both"/>
        <w:rPr>
          <w:rFonts w:ascii="Arial" w:hAnsi="Arial" w:cs="Arial"/>
          <w:lang w:eastAsia="fr-LU"/>
        </w:rPr>
      </w:pPr>
    </w:p>
    <w:p w:rsidR="0020125B" w:rsidRDefault="00A65711" w:rsidP="00F87625">
      <w:pPr>
        <w:autoSpaceDE w:val="0"/>
        <w:autoSpaceDN w:val="0"/>
        <w:adjustRightInd w:val="0"/>
        <w:spacing w:after="0" w:line="240" w:lineRule="auto"/>
        <w:jc w:val="both"/>
        <w:rPr>
          <w:rFonts w:ascii="Arial" w:hAnsi="Arial" w:cs="Arial"/>
          <w:lang w:eastAsia="fr-LU"/>
        </w:rPr>
      </w:pPr>
      <w:r w:rsidRPr="00FD67A1">
        <w:rPr>
          <w:rFonts w:ascii="Arial" w:hAnsi="Arial" w:cs="Arial"/>
          <w:lang w:eastAsia="fr-LU"/>
        </w:rPr>
        <w:t>Dans l’Union européenne, les dessins et modèles bénéficient d’une protection sous réserve d’être nouveaux et de présenter un caractère individuel.</w:t>
      </w:r>
      <w:r w:rsidR="00012077" w:rsidRPr="00FD67A1">
        <w:rPr>
          <w:rFonts w:ascii="Arial" w:hAnsi="Arial" w:cs="Arial"/>
          <w:lang w:eastAsia="fr-LU"/>
        </w:rPr>
        <w:t xml:space="preserve"> L</w:t>
      </w:r>
      <w:r w:rsidRPr="00FD67A1">
        <w:rPr>
          <w:rFonts w:ascii="Arial" w:hAnsi="Arial" w:cs="Arial"/>
          <w:lang w:eastAsia="fr-LU"/>
        </w:rPr>
        <w:t>es dessins et modèles ne sont protégés, sous réserve de respecter les conditions de fond posées dan</w:t>
      </w:r>
      <w:r w:rsidR="0020125B">
        <w:rPr>
          <w:rFonts w:ascii="Arial" w:hAnsi="Arial" w:cs="Arial"/>
          <w:lang w:eastAsia="fr-LU"/>
        </w:rPr>
        <w:t>s les différentes législations</w:t>
      </w:r>
      <w:r w:rsidR="009E1C68">
        <w:rPr>
          <w:rFonts w:ascii="Arial" w:hAnsi="Arial" w:cs="Arial"/>
          <w:lang w:eastAsia="fr-LU"/>
        </w:rPr>
        <w:t>,</w:t>
      </w:r>
      <w:r w:rsidR="0020125B">
        <w:rPr>
          <w:rFonts w:ascii="Arial" w:hAnsi="Arial" w:cs="Arial"/>
          <w:lang w:eastAsia="fr-LU"/>
        </w:rPr>
        <w:t xml:space="preserve"> </w:t>
      </w:r>
      <w:r w:rsidRPr="00FD67A1">
        <w:rPr>
          <w:rFonts w:ascii="Arial" w:hAnsi="Arial" w:cs="Arial"/>
          <w:lang w:eastAsia="fr-LU"/>
        </w:rPr>
        <w:t xml:space="preserve">qu’à la suite d’un dépôt. </w:t>
      </w:r>
      <w:r w:rsidR="009E1C68">
        <w:rPr>
          <w:rFonts w:ascii="Arial" w:hAnsi="Arial" w:cs="Arial"/>
          <w:lang w:eastAsia="fr-LU"/>
        </w:rPr>
        <w:t>C</w:t>
      </w:r>
      <w:r w:rsidRPr="00FD67A1">
        <w:rPr>
          <w:rFonts w:ascii="Arial" w:hAnsi="Arial" w:cs="Arial"/>
          <w:lang w:eastAsia="fr-LU"/>
        </w:rPr>
        <w:t xml:space="preserve">e dépôt peut être national, régional ou international. </w:t>
      </w:r>
    </w:p>
    <w:p w:rsidR="0020125B" w:rsidRDefault="0020125B" w:rsidP="00F87625">
      <w:pPr>
        <w:autoSpaceDE w:val="0"/>
        <w:autoSpaceDN w:val="0"/>
        <w:adjustRightInd w:val="0"/>
        <w:spacing w:after="0" w:line="240" w:lineRule="auto"/>
        <w:jc w:val="both"/>
        <w:rPr>
          <w:rFonts w:ascii="Arial" w:hAnsi="Arial" w:cs="Arial"/>
          <w:lang w:eastAsia="fr-LU"/>
        </w:rPr>
      </w:pPr>
    </w:p>
    <w:p w:rsidR="0020125B" w:rsidRDefault="00A65711" w:rsidP="00F87625">
      <w:pPr>
        <w:autoSpaceDE w:val="0"/>
        <w:autoSpaceDN w:val="0"/>
        <w:adjustRightInd w:val="0"/>
        <w:spacing w:after="0" w:line="240" w:lineRule="auto"/>
        <w:jc w:val="both"/>
        <w:rPr>
          <w:rFonts w:ascii="Arial" w:hAnsi="Arial" w:cs="Arial"/>
          <w:lang w:eastAsia="fr-LU"/>
        </w:rPr>
      </w:pPr>
      <w:r w:rsidRPr="00FD67A1">
        <w:rPr>
          <w:rFonts w:ascii="Arial" w:hAnsi="Arial" w:cs="Arial"/>
          <w:lang w:eastAsia="fr-LU"/>
        </w:rPr>
        <w:t xml:space="preserve">Pour le Luxembourg, </w:t>
      </w:r>
      <w:r w:rsidR="00012077" w:rsidRPr="00FD67A1">
        <w:rPr>
          <w:rFonts w:ascii="Arial" w:hAnsi="Arial" w:cs="Arial"/>
          <w:lang w:eastAsia="fr-LU"/>
        </w:rPr>
        <w:t>l</w:t>
      </w:r>
      <w:r w:rsidRPr="00FD67A1">
        <w:rPr>
          <w:rFonts w:ascii="Arial" w:hAnsi="Arial" w:cs="Arial"/>
          <w:lang w:eastAsia="fr-LU"/>
        </w:rPr>
        <w:t xml:space="preserve">e dépôt s’effectue auprès de l’Office Benelux de la propriété intellectuelle. La protection conférée au terme de l’enregistrement d’un dessin et modèle couvre </w:t>
      </w:r>
      <w:r w:rsidR="00012077" w:rsidRPr="00FD67A1">
        <w:rPr>
          <w:rFonts w:ascii="Arial" w:hAnsi="Arial" w:cs="Arial"/>
          <w:lang w:eastAsia="fr-LU"/>
        </w:rPr>
        <w:t>l</w:t>
      </w:r>
      <w:r w:rsidRPr="00FD67A1">
        <w:rPr>
          <w:rFonts w:ascii="Arial" w:hAnsi="Arial" w:cs="Arial"/>
          <w:lang w:eastAsia="fr-LU"/>
        </w:rPr>
        <w:t>es trois Etats du Benelux.</w:t>
      </w:r>
    </w:p>
    <w:p w:rsidR="0020125B" w:rsidRDefault="0020125B" w:rsidP="00F87625">
      <w:pPr>
        <w:autoSpaceDE w:val="0"/>
        <w:autoSpaceDN w:val="0"/>
        <w:adjustRightInd w:val="0"/>
        <w:spacing w:after="0" w:line="240" w:lineRule="auto"/>
        <w:jc w:val="both"/>
        <w:rPr>
          <w:rFonts w:ascii="Arial" w:hAnsi="Arial" w:cs="Arial"/>
          <w:lang w:eastAsia="fr-LU"/>
        </w:rPr>
      </w:pPr>
    </w:p>
    <w:p w:rsidR="0020125B" w:rsidRDefault="00A65711" w:rsidP="00F87625">
      <w:pPr>
        <w:autoSpaceDE w:val="0"/>
        <w:autoSpaceDN w:val="0"/>
        <w:adjustRightInd w:val="0"/>
        <w:spacing w:after="0" w:line="240" w:lineRule="auto"/>
        <w:jc w:val="both"/>
        <w:rPr>
          <w:rFonts w:ascii="Arial" w:hAnsi="Arial" w:cs="Arial"/>
          <w:lang w:eastAsia="fr-LU"/>
        </w:rPr>
      </w:pPr>
      <w:r w:rsidRPr="00FD67A1">
        <w:rPr>
          <w:rFonts w:ascii="Arial" w:hAnsi="Arial" w:cs="Arial"/>
          <w:lang w:eastAsia="fr-LU"/>
        </w:rPr>
        <w:t>Il est également possible de déposer un dessin ou modèle auprès de l’Office de l’harmonisation dans le marché intérieur (OHMI).</w:t>
      </w:r>
      <w:r w:rsidR="00012077" w:rsidRPr="00FD67A1">
        <w:rPr>
          <w:rFonts w:ascii="Arial" w:hAnsi="Arial" w:cs="Arial"/>
          <w:lang w:eastAsia="fr-LU"/>
        </w:rPr>
        <w:t xml:space="preserve"> </w:t>
      </w:r>
    </w:p>
    <w:p w:rsidR="0020125B" w:rsidRDefault="0020125B" w:rsidP="00F87625">
      <w:pPr>
        <w:autoSpaceDE w:val="0"/>
        <w:autoSpaceDN w:val="0"/>
        <w:adjustRightInd w:val="0"/>
        <w:spacing w:after="0" w:line="240" w:lineRule="auto"/>
        <w:jc w:val="both"/>
        <w:rPr>
          <w:rFonts w:ascii="Arial" w:hAnsi="Arial" w:cs="Arial"/>
          <w:lang w:eastAsia="fr-LU"/>
        </w:rPr>
      </w:pPr>
    </w:p>
    <w:p w:rsidR="009272D4" w:rsidRPr="00FD67A1" w:rsidRDefault="0020125B" w:rsidP="00F87625">
      <w:pPr>
        <w:autoSpaceDE w:val="0"/>
        <w:autoSpaceDN w:val="0"/>
        <w:adjustRightInd w:val="0"/>
        <w:spacing w:after="0" w:line="240" w:lineRule="auto"/>
        <w:jc w:val="both"/>
        <w:rPr>
          <w:rFonts w:ascii="Arial" w:hAnsi="Arial" w:cs="Arial"/>
        </w:rPr>
      </w:pPr>
      <w:r>
        <w:rPr>
          <w:rFonts w:ascii="Arial" w:hAnsi="Arial" w:cs="Arial"/>
          <w:lang w:eastAsia="fr-LU"/>
        </w:rPr>
        <w:t>De plus</w:t>
      </w:r>
      <w:r w:rsidR="00A65711" w:rsidRPr="00FD67A1">
        <w:rPr>
          <w:rFonts w:ascii="Arial" w:hAnsi="Arial" w:cs="Arial"/>
          <w:lang w:eastAsia="fr-LU"/>
        </w:rPr>
        <w:t>, il est possible d’effectuer un enregistrement par voie internationale, qui s’effectue soit auprès du Bureau international de l’Organisation mondiale de la propriété intellectuelle (OMPI), soit, si l’Etat concerné le permet, par l’intermédiaire d’un bureau d’enregistrement national. Ce système permet un dépôt unique ayant les mêmes effets dans les Etats parties à l’Arrangement et désignés dans la demande, qu’un dépôt national. Il ne s’agit donc pas d’un titre unique, mais d’une procédure d’enregistrement unique, qui permet d’obtenir une protection dans les Etats parties au système de La Haye</w:t>
      </w:r>
      <w:r w:rsidR="00FD67A1" w:rsidRPr="00FD67A1">
        <w:rPr>
          <w:rFonts w:ascii="Arial" w:hAnsi="Arial" w:cs="Arial"/>
          <w:lang w:eastAsia="fr-LU"/>
        </w:rPr>
        <w:t xml:space="preserve">. </w:t>
      </w:r>
    </w:p>
    <w:sectPr w:rsidR="009272D4" w:rsidRPr="00FD67A1" w:rsidSect="00927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625"/>
    <w:rsid w:val="00012077"/>
    <w:rsid w:val="0020125B"/>
    <w:rsid w:val="003B17BF"/>
    <w:rsid w:val="006D3A30"/>
    <w:rsid w:val="007A53C5"/>
    <w:rsid w:val="00821760"/>
    <w:rsid w:val="009272D4"/>
    <w:rsid w:val="009E1C68"/>
    <w:rsid w:val="00A65711"/>
    <w:rsid w:val="00AE5897"/>
    <w:rsid w:val="00CA5D2A"/>
    <w:rsid w:val="00F87625"/>
    <w:rsid w:val="00FD67A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D36C07-ADCA-4ECC-8856-62F95C3F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D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1593</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BARRA</dc:creator>
  <cp:keywords/>
  <cp:lastModifiedBy>SYSTEM</cp:lastModifiedBy>
  <cp:revision>2</cp:revision>
  <dcterms:created xsi:type="dcterms:W3CDTF">2024-02-21T07:44:00Z</dcterms:created>
  <dcterms:modified xsi:type="dcterms:W3CDTF">2024-02-21T07:44:00Z</dcterms:modified>
</cp:coreProperties>
</file>