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4E1511">
        <w:rPr>
          <w:rFonts w:ascii="Arial" w:hAnsi="Arial" w:cs="Arial"/>
          <w:b/>
          <w:sz w:val="22"/>
          <w:szCs w:val="22"/>
          <w:u w:val="single"/>
        </w:rPr>
        <w:t>5735 : résumé</w:t>
      </w:r>
    </w:p>
    <w:p w:rsid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sz w:val="22"/>
          <w:szCs w:val="22"/>
        </w:rPr>
        <w:t>Le projet de loi se propose d’approuver le Protocole à la Convention sur l’évaluation de l’impact sur l’environnement dans un contexte transfrontière, relatif à l’évaluation stratégique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environnementale.</w:t>
      </w:r>
      <w:r w:rsidR="00DA4F18"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 xml:space="preserve">La Convention dite d’Espoo a été adoptée le 25 février 1991; </w:t>
      </w:r>
      <w:r w:rsidR="00DA4F18">
        <w:rPr>
          <w:rFonts w:ascii="Arial" w:hAnsi="Arial" w:cs="Arial"/>
          <w:sz w:val="22"/>
          <w:szCs w:val="22"/>
        </w:rPr>
        <w:t>l</w:t>
      </w:r>
      <w:r w:rsidRPr="004E1511">
        <w:rPr>
          <w:rFonts w:ascii="Arial" w:hAnsi="Arial" w:cs="Arial"/>
          <w:sz w:val="22"/>
          <w:szCs w:val="22"/>
        </w:rPr>
        <w:t>e Protocole a été signé à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l’occasion de la cinquième conférence ministérielle „un environnement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 xml:space="preserve">pour l’Europe“ qui s’est déroulée à Kiev, </w:t>
      </w:r>
      <w:r w:rsidR="00DA4F18">
        <w:rPr>
          <w:rFonts w:ascii="Arial" w:hAnsi="Arial" w:cs="Arial"/>
          <w:sz w:val="22"/>
          <w:szCs w:val="22"/>
        </w:rPr>
        <w:t>en</w:t>
      </w:r>
      <w:r w:rsidRPr="004E1511">
        <w:rPr>
          <w:rFonts w:ascii="Arial" w:hAnsi="Arial" w:cs="Arial"/>
          <w:sz w:val="22"/>
          <w:szCs w:val="22"/>
        </w:rPr>
        <w:t xml:space="preserve"> mai 2003.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b/>
          <w:bCs/>
          <w:sz w:val="22"/>
          <w:szCs w:val="22"/>
        </w:rPr>
        <w:t>Convention d’Espoo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4E1511">
        <w:rPr>
          <w:rFonts w:ascii="Arial" w:hAnsi="Arial" w:cs="Arial"/>
          <w:sz w:val="22"/>
          <w:szCs w:val="22"/>
        </w:rPr>
        <w:t>la Convention vise à atténuer le plus possible les effets environnementaux transfrontaliers nocifs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associés à certains projets, à assurer l’évaluation environnementale de ces projets, à fournir au gouvernement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et au public du pays touché l’occasion de participer à l’évaluation environnementale, et à faire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en sorte que les résultats de l’évaluation environnementale soient pris en compte dans la décision finale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concernant le projet.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b/>
          <w:bCs/>
          <w:sz w:val="22"/>
          <w:szCs w:val="22"/>
        </w:rPr>
        <w:t>Protocole de Kiev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="00DA4F18" w:rsidRPr="00D73A8F">
        <w:rPr>
          <w:rFonts w:ascii="Arial" w:hAnsi="Arial" w:cs="Arial"/>
          <w:bCs/>
          <w:sz w:val="22"/>
          <w:szCs w:val="22"/>
        </w:rPr>
        <w:t>l</w:t>
      </w:r>
      <w:r w:rsidRPr="004E1511">
        <w:rPr>
          <w:rFonts w:ascii="Arial" w:hAnsi="Arial" w:cs="Arial"/>
          <w:sz w:val="22"/>
          <w:szCs w:val="22"/>
        </w:rPr>
        <w:t>’objectif du Protocole est la prise en compte des considérations d’environnement et de santé dans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l’élaboration de plans et programmes et dans l’élaboration de politiques et de textes de loi.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sz w:val="22"/>
          <w:szCs w:val="22"/>
        </w:rPr>
        <w:t>Outre le développement durable, ce traité international renforce ce qu’il est convenu d’appeler la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démocratie participative. En effet, la participation du public dans les prises de décision stratégiques ne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se limite pas seulement à une information pure et simple, mais englobe surtout le droit de présenter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des observations et d’être tenu au courant des décisions finalement prises.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b/>
          <w:bCs/>
          <w:sz w:val="22"/>
          <w:szCs w:val="22"/>
        </w:rPr>
        <w:t>Réglementation CE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="00DA4F18" w:rsidRPr="00DA4F18">
        <w:rPr>
          <w:rFonts w:ascii="Arial" w:hAnsi="Arial" w:cs="Arial"/>
          <w:bCs/>
          <w:sz w:val="22"/>
          <w:szCs w:val="22"/>
        </w:rPr>
        <w:t>l</w:t>
      </w:r>
      <w:r w:rsidR="00DA4F18" w:rsidRPr="004E1511">
        <w:rPr>
          <w:rFonts w:ascii="Arial" w:hAnsi="Arial" w:cs="Arial"/>
          <w:sz w:val="22"/>
          <w:szCs w:val="22"/>
        </w:rPr>
        <w:t>e Protocole est relayé au niveau communautaire par la directive 20</w:t>
      </w:r>
      <w:r w:rsidR="00DA4F18">
        <w:rPr>
          <w:rFonts w:ascii="Arial" w:hAnsi="Arial" w:cs="Arial"/>
          <w:sz w:val="22"/>
          <w:szCs w:val="22"/>
        </w:rPr>
        <w:t xml:space="preserve">01/42/CE </w:t>
      </w:r>
      <w:r w:rsidRPr="004E1511">
        <w:rPr>
          <w:rFonts w:ascii="Arial" w:hAnsi="Arial" w:cs="Arial"/>
          <w:sz w:val="22"/>
          <w:szCs w:val="22"/>
        </w:rPr>
        <w:t>relative à l’évaluation des incidences de certains plans et programmes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 xml:space="preserve">sur l’environnement, </w:t>
      </w:r>
      <w:r w:rsidR="00D73A8F">
        <w:rPr>
          <w:rFonts w:ascii="Arial" w:hAnsi="Arial" w:cs="Arial"/>
          <w:sz w:val="22"/>
          <w:szCs w:val="22"/>
        </w:rPr>
        <w:t>qui exige que</w:t>
      </w:r>
      <w:r w:rsidR="00DA4F18"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les effets sur l’environnement d’un grand nombre de plans et programmes publics</w:t>
      </w:r>
      <w:r>
        <w:rPr>
          <w:rFonts w:ascii="Arial" w:hAnsi="Arial" w:cs="Arial"/>
          <w:sz w:val="22"/>
          <w:szCs w:val="22"/>
        </w:rPr>
        <w:t xml:space="preserve"> </w:t>
      </w:r>
      <w:r w:rsidR="00D73A8F">
        <w:rPr>
          <w:rFonts w:ascii="Arial" w:hAnsi="Arial" w:cs="Arial"/>
          <w:sz w:val="22"/>
          <w:szCs w:val="22"/>
        </w:rPr>
        <w:t>soient</w:t>
      </w:r>
      <w:r w:rsidRPr="004E1511">
        <w:rPr>
          <w:rFonts w:ascii="Arial" w:hAnsi="Arial" w:cs="Arial"/>
          <w:sz w:val="22"/>
          <w:szCs w:val="22"/>
        </w:rPr>
        <w:t xml:space="preserve"> évalués au moyen de procédures de planification mieux préparées et plus ouvertes.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sz w:val="22"/>
          <w:szCs w:val="22"/>
        </w:rPr>
        <w:t>Au moment de l’élaboration desdits plans et programmes, les pouvoirs publics devront préparer un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rapport afin de déterminer</w:t>
      </w:r>
      <w:r w:rsidR="00DA4F18"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et d’évaluer leurs incidences éventuelles sur l’environnement, et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notamment les effets sur la biodiversité, la faune et la flore, le sol et l’eau, les facteurs climatiques, le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paysage et la santé humaine.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sz w:val="22"/>
          <w:szCs w:val="22"/>
        </w:rPr>
        <w:t>La directive permet à chacun d’exprimer son opinion sur le rapport environnemental ainsi que sur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le projet de plan ou de programme.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sz w:val="22"/>
          <w:szCs w:val="22"/>
        </w:rPr>
        <w:t>Le rapport environnemental et les résultats de la consultation publique doivent être pris en compte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au moment de l’adoption des plans et programmes.</w:t>
      </w:r>
    </w:p>
    <w:sectPr w:rsidR="004E1511" w:rsidRPr="004E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511"/>
    <w:rsid w:val="00484514"/>
    <w:rsid w:val="004E1511"/>
    <w:rsid w:val="0089444D"/>
    <w:rsid w:val="00D73A8F"/>
    <w:rsid w:val="00D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5D6344F-7EEB-4B8F-B8A5-34D764F6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DA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5735 : résumé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5735 : résumé</dc:title>
  <dc:subject/>
  <dc:creator>Rachel Moris</dc:creator>
  <cp:keywords/>
  <dc:description/>
  <cp:lastModifiedBy>SYSTEM</cp:lastModifiedBy>
  <cp:revision>2</cp:revision>
  <cp:lastPrinted>2008-04-07T07:58:00Z</cp:lastPrinted>
  <dcterms:created xsi:type="dcterms:W3CDTF">2024-02-21T07:43:00Z</dcterms:created>
  <dcterms:modified xsi:type="dcterms:W3CDTF">2024-02-21T07:43:00Z</dcterms:modified>
</cp:coreProperties>
</file>