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C" w:rsidRDefault="00592DBC" w:rsidP="00592D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4619">
        <w:rPr>
          <w:b/>
          <w:sz w:val="28"/>
          <w:szCs w:val="28"/>
        </w:rPr>
        <w:t xml:space="preserve">N° </w:t>
      </w:r>
      <w:r w:rsidR="00710877">
        <w:rPr>
          <w:b/>
          <w:sz w:val="28"/>
          <w:szCs w:val="28"/>
        </w:rPr>
        <w:t>5595</w:t>
      </w:r>
    </w:p>
    <w:p w:rsidR="00255463" w:rsidRDefault="00255463" w:rsidP="006C0DA4">
      <w:pPr>
        <w:jc w:val="center"/>
        <w:rPr>
          <w:b/>
          <w:sz w:val="28"/>
          <w:szCs w:val="28"/>
        </w:rPr>
      </w:pPr>
    </w:p>
    <w:p w:rsidR="00710877" w:rsidRDefault="00710877" w:rsidP="0071087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1507B">
        <w:rPr>
          <w:rFonts w:ascii="Arial" w:hAnsi="Arial" w:cs="Arial"/>
          <w:b/>
        </w:rPr>
        <w:t>Proposition de révision de l’article 10 de la Constitution</w:t>
      </w:r>
    </w:p>
    <w:p w:rsidR="00297942" w:rsidRPr="00D1507B" w:rsidRDefault="00297942" w:rsidP="0071087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6C0DA4" w:rsidRDefault="006C0DA4" w:rsidP="006C0DA4">
      <w:pPr>
        <w:jc w:val="both"/>
      </w:pPr>
    </w:p>
    <w:p w:rsidR="00255463" w:rsidRPr="00E96A04" w:rsidRDefault="00255463" w:rsidP="00255463">
      <w:pPr>
        <w:jc w:val="center"/>
        <w:rPr>
          <w:b/>
          <w:sz w:val="28"/>
          <w:szCs w:val="28"/>
          <w:u w:val="single"/>
        </w:rPr>
      </w:pPr>
      <w:r w:rsidRPr="00E96A04">
        <w:rPr>
          <w:b/>
          <w:sz w:val="28"/>
          <w:szCs w:val="28"/>
          <w:u w:val="single"/>
        </w:rPr>
        <w:t>Résumé</w:t>
      </w:r>
    </w:p>
    <w:p w:rsidR="006C0DA4" w:rsidRDefault="006C0DA4" w:rsidP="006C0DA4">
      <w:pPr>
        <w:jc w:val="both"/>
      </w:pPr>
    </w:p>
    <w:p w:rsidR="00297942" w:rsidRPr="00D1507B" w:rsidRDefault="00297942" w:rsidP="00297942">
      <w:pPr>
        <w:jc w:val="both"/>
        <w:rPr>
          <w:rFonts w:ascii="Arial" w:hAnsi="Arial" w:cs="Arial"/>
          <w:b/>
          <w:sz w:val="22"/>
          <w:szCs w:val="22"/>
        </w:rPr>
      </w:pPr>
      <w:r w:rsidRPr="00D1507B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La s</w:t>
      </w:r>
      <w:r w:rsidRPr="00D1507B">
        <w:rPr>
          <w:rFonts w:ascii="Arial" w:hAnsi="Arial" w:cs="Arial"/>
          <w:b/>
          <w:sz w:val="22"/>
          <w:szCs w:val="22"/>
        </w:rPr>
        <w:t>ituation juridique actuelle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 xml:space="preserve">L’article 10 de la Constitution, tel qu’il a été modifié </w:t>
      </w:r>
      <w:r>
        <w:rPr>
          <w:rFonts w:ascii="Arial" w:hAnsi="Arial" w:cs="Arial"/>
          <w:sz w:val="22"/>
          <w:szCs w:val="22"/>
        </w:rPr>
        <w:t xml:space="preserve">par la révision du </w:t>
      </w:r>
      <w:r w:rsidRPr="00D1507B">
        <w:rPr>
          <w:rFonts w:ascii="Arial" w:hAnsi="Arial" w:cs="Arial"/>
          <w:sz w:val="22"/>
          <w:szCs w:val="22"/>
        </w:rPr>
        <w:t>6 mai 1948 est libellé comme suit :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5165FB" w:rsidRDefault="00297942" w:rsidP="00297942">
      <w:pPr>
        <w:jc w:val="both"/>
        <w:rPr>
          <w:rFonts w:ascii="Arial" w:hAnsi="Arial" w:cs="Arial"/>
          <w:i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« </w:t>
      </w:r>
      <w:r>
        <w:rPr>
          <w:rFonts w:ascii="Arial" w:hAnsi="Arial" w:cs="Arial"/>
          <w:sz w:val="22"/>
          <w:szCs w:val="22"/>
        </w:rPr>
        <w:t xml:space="preserve"> </w:t>
      </w:r>
      <w:r w:rsidRPr="00D1507B">
        <w:rPr>
          <w:rFonts w:ascii="Arial" w:hAnsi="Arial" w:cs="Arial"/>
          <w:sz w:val="22"/>
          <w:szCs w:val="22"/>
        </w:rPr>
        <w:t xml:space="preserve"> </w:t>
      </w:r>
      <w:r w:rsidRPr="00391BCE">
        <w:rPr>
          <w:rFonts w:ascii="Arial" w:hAnsi="Arial" w:cs="Arial"/>
          <w:i/>
          <w:sz w:val="22"/>
          <w:szCs w:val="22"/>
        </w:rPr>
        <w:t>(</w:t>
      </w:r>
      <w:r w:rsidRPr="005165FB">
        <w:rPr>
          <w:rFonts w:ascii="Arial" w:hAnsi="Arial" w:cs="Arial"/>
          <w:i/>
          <w:sz w:val="22"/>
          <w:szCs w:val="22"/>
        </w:rPr>
        <w:t>1) La naturalisation est accordée par le pouvoir législatif.</w:t>
      </w:r>
    </w:p>
    <w:p w:rsidR="00297942" w:rsidRPr="005165FB" w:rsidRDefault="00297942" w:rsidP="00297942">
      <w:pPr>
        <w:jc w:val="both"/>
        <w:rPr>
          <w:rFonts w:ascii="Arial" w:hAnsi="Arial" w:cs="Arial"/>
          <w:i/>
          <w:sz w:val="22"/>
          <w:szCs w:val="22"/>
        </w:rPr>
      </w:pPr>
    </w:p>
    <w:p w:rsidR="00297942" w:rsidRPr="00D1507B" w:rsidRDefault="00297942" w:rsidP="00297942">
      <w:pPr>
        <w:ind w:left="360"/>
        <w:jc w:val="both"/>
        <w:rPr>
          <w:rFonts w:ascii="Arial" w:hAnsi="Arial" w:cs="Arial"/>
          <w:sz w:val="22"/>
          <w:szCs w:val="22"/>
        </w:rPr>
      </w:pPr>
      <w:r w:rsidRPr="005165FB">
        <w:rPr>
          <w:rFonts w:ascii="Arial" w:hAnsi="Arial" w:cs="Arial"/>
          <w:i/>
          <w:sz w:val="22"/>
          <w:szCs w:val="22"/>
        </w:rPr>
        <w:t>(2) La loi détermine les effets de la naturalisation.</w:t>
      </w:r>
      <w:r w:rsidRPr="00D1507B">
        <w:rPr>
          <w:rFonts w:ascii="Arial" w:hAnsi="Arial" w:cs="Arial"/>
          <w:sz w:val="22"/>
          <w:szCs w:val="22"/>
        </w:rPr>
        <w:t> ».</w:t>
      </w: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La disposition constitutionnelle réservant la faculté au pouvoir législatif</w:t>
      </w:r>
      <w:r>
        <w:rPr>
          <w:rFonts w:ascii="Arial" w:hAnsi="Arial" w:cs="Arial"/>
          <w:sz w:val="22"/>
          <w:szCs w:val="22"/>
        </w:rPr>
        <w:t xml:space="preserve"> </w:t>
      </w:r>
      <w:r w:rsidRPr="00D1507B">
        <w:rPr>
          <w:rFonts w:ascii="Arial" w:hAnsi="Arial" w:cs="Arial"/>
          <w:sz w:val="22"/>
          <w:szCs w:val="22"/>
        </w:rPr>
        <w:t>d’accorder la naturalisation, invariablement inscrite dans la loi fondamentale depuis 1848 et reprise de la Constitution belge de 1831, marque clairement la conception traditionnelle selon laquelle « </w:t>
      </w:r>
      <w:r w:rsidRPr="005165FB">
        <w:rPr>
          <w:rFonts w:ascii="Arial" w:hAnsi="Arial" w:cs="Arial"/>
          <w:i/>
          <w:sz w:val="22"/>
          <w:szCs w:val="22"/>
        </w:rPr>
        <w:t>l’obtention de la nationalité belge par la voie de la na</w:t>
      </w:r>
      <w:r>
        <w:rPr>
          <w:rFonts w:ascii="Arial" w:hAnsi="Arial" w:cs="Arial"/>
          <w:i/>
          <w:sz w:val="22"/>
          <w:szCs w:val="22"/>
        </w:rPr>
        <w:t>turalisation n’est pas un droit</w:t>
      </w:r>
      <w:r w:rsidRPr="005165FB">
        <w:rPr>
          <w:rFonts w:ascii="Arial" w:hAnsi="Arial" w:cs="Arial"/>
          <w:i/>
          <w:sz w:val="22"/>
          <w:szCs w:val="22"/>
        </w:rPr>
        <w:t xml:space="preserve"> mais résulte de l’exercice d’un pouvoir souverain d’appréciation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»</w:t>
      </w:r>
      <w:r w:rsidRPr="00D1507B">
        <w:rPr>
          <w:rFonts w:ascii="Arial" w:hAnsi="Arial" w:cs="Arial"/>
          <w:sz w:val="22"/>
          <w:szCs w:val="22"/>
        </w:rPr>
        <w:t xml:space="preserve"> (arrêt No 75/98 du 24 juin 1998 de la Cour d’arbitrage de Belgique).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Toutefois, même si la naturalisation est une prérogative du pouvoir législatif, celui-ci s’en tient dans ses décisions aux conditions et modalités fixées par la législation sur la nationalité luxembourgeoise.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Plusieurs des conditions fixées par la loi laissent à la Chambre des Députés un large pouvoir d’appréciation, notamment pour déterminer si « </w:t>
      </w:r>
      <w:r w:rsidRPr="00CB0D61">
        <w:rPr>
          <w:rFonts w:ascii="Arial" w:hAnsi="Arial" w:cs="Arial"/>
          <w:i/>
          <w:sz w:val="22"/>
          <w:szCs w:val="22"/>
        </w:rPr>
        <w:t>l’intégration est suffisante</w:t>
      </w:r>
      <w:r w:rsidRPr="00D1507B">
        <w:rPr>
          <w:rFonts w:ascii="Arial" w:hAnsi="Arial" w:cs="Arial"/>
          <w:sz w:val="22"/>
          <w:szCs w:val="22"/>
        </w:rPr>
        <w:t> ».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Les décisions en matière de naturalisation prises par la Chambre des Députés, après un délibéré à huis clos, relèvent du pouvoir législatif souverain et ne peuvent faire l’objet d’aucun recours devant une juridiction impartiale et indépendante, encore que dans ce cas « </w:t>
      </w:r>
      <w:r w:rsidRPr="005165FB">
        <w:rPr>
          <w:rFonts w:ascii="Arial" w:hAnsi="Arial" w:cs="Arial"/>
          <w:i/>
          <w:sz w:val="22"/>
          <w:szCs w:val="22"/>
        </w:rPr>
        <w:t>le pouvoir législatif ne fait œuvre générale et impersonnelle, mais particulière et personnelle ; il remplit aussi une mission d’administration</w:t>
      </w:r>
      <w:r w:rsidRPr="00D1507B">
        <w:rPr>
          <w:rFonts w:ascii="Arial" w:hAnsi="Arial" w:cs="Arial"/>
          <w:sz w:val="22"/>
          <w:szCs w:val="22"/>
        </w:rPr>
        <w:t> » (Francis Delpérée : Droit constitutionnel, tome I, deuxième édition, page 137).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Enfin, il faut relever que, sauf en Belgique, l’intervention du pouvoir législatif n’est prévue en matière de naturalisation dans aucun autre Etat européen.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b/>
          <w:sz w:val="22"/>
          <w:szCs w:val="22"/>
        </w:rPr>
      </w:pPr>
      <w:r w:rsidRPr="00D1507B">
        <w:rPr>
          <w:rFonts w:ascii="Arial" w:hAnsi="Arial" w:cs="Arial"/>
          <w:b/>
          <w:sz w:val="22"/>
          <w:szCs w:val="22"/>
        </w:rPr>
        <w:t>2. La proposition de la Commission des Institutions et de la Révision constitutionnelle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La Commission des Institutions et de la Révision constitutionnelle, contrairement à la conception traditionnelle de la naturalisation, a été d’avis que dans une société respectueuse des droits fondamentaux</w:t>
      </w:r>
      <w:r>
        <w:rPr>
          <w:rFonts w:ascii="Arial" w:hAnsi="Arial" w:cs="Arial"/>
          <w:sz w:val="22"/>
          <w:szCs w:val="22"/>
        </w:rPr>
        <w:t xml:space="preserve"> chacun doit</w:t>
      </w:r>
      <w:r w:rsidRPr="00D15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avoir </w:t>
      </w:r>
      <w:r w:rsidRPr="00D1507B">
        <w:rPr>
          <w:rFonts w:ascii="Arial" w:hAnsi="Arial" w:cs="Arial"/>
          <w:sz w:val="22"/>
          <w:szCs w:val="22"/>
        </w:rPr>
        <w:t>le droit de porter, en toutes circonstances, sa cause devant une juridiction indépendante et impartiale</w:t>
      </w:r>
      <w:r>
        <w:rPr>
          <w:rFonts w:ascii="Arial" w:hAnsi="Arial" w:cs="Arial"/>
          <w:sz w:val="22"/>
          <w:szCs w:val="22"/>
        </w:rPr>
        <w:t xml:space="preserve">. La commission </w:t>
      </w:r>
      <w:r w:rsidRPr="00D1507B">
        <w:rPr>
          <w:rFonts w:ascii="Arial" w:hAnsi="Arial" w:cs="Arial"/>
          <w:sz w:val="22"/>
          <w:szCs w:val="22"/>
        </w:rPr>
        <w:t xml:space="preserve">s’est </w:t>
      </w:r>
      <w:r>
        <w:rPr>
          <w:rFonts w:ascii="Arial" w:hAnsi="Arial" w:cs="Arial"/>
          <w:sz w:val="22"/>
          <w:szCs w:val="22"/>
        </w:rPr>
        <w:t xml:space="preserve">partant </w:t>
      </w:r>
      <w:r w:rsidRPr="00D1507B">
        <w:rPr>
          <w:rFonts w:ascii="Arial" w:hAnsi="Arial" w:cs="Arial"/>
          <w:sz w:val="22"/>
          <w:szCs w:val="22"/>
        </w:rPr>
        <w:t>unanimement ralliée à la proposition de faire de la naturalisation un droit. Dorénavant</w:t>
      </w:r>
      <w:r>
        <w:rPr>
          <w:rFonts w:ascii="Arial" w:hAnsi="Arial" w:cs="Arial"/>
          <w:sz w:val="22"/>
          <w:szCs w:val="22"/>
        </w:rPr>
        <w:t>,</w:t>
      </w:r>
      <w:r w:rsidRPr="00D1507B">
        <w:rPr>
          <w:rFonts w:ascii="Arial" w:hAnsi="Arial" w:cs="Arial"/>
          <w:sz w:val="22"/>
          <w:szCs w:val="22"/>
        </w:rPr>
        <w:t xml:space="preserve"> les décisions en matière d’acquisition de la nationalité sont des décisions à prendre par le pouvoir exécutif sur la base d’un texte de loi fixant des critères précis, excluant, dans la mesure du possible, toute appréciation discriminatoire.</w:t>
      </w: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Default="00297942" w:rsidP="00297942">
      <w:pPr>
        <w:jc w:val="both"/>
        <w:rPr>
          <w:rFonts w:ascii="Arial" w:hAnsi="Arial" w:cs="Arial"/>
          <w:sz w:val="22"/>
          <w:szCs w:val="22"/>
        </w:rPr>
      </w:pPr>
    </w:p>
    <w:p w:rsidR="00297942" w:rsidRPr="00D1507B" w:rsidRDefault="00297942" w:rsidP="00297942">
      <w:pPr>
        <w:jc w:val="both"/>
        <w:rPr>
          <w:rFonts w:ascii="Arial" w:hAnsi="Arial" w:cs="Arial"/>
          <w:sz w:val="22"/>
          <w:szCs w:val="22"/>
        </w:rPr>
      </w:pPr>
      <w:r w:rsidRPr="00D1507B">
        <w:rPr>
          <w:rFonts w:ascii="Arial" w:hAnsi="Arial" w:cs="Arial"/>
          <w:sz w:val="22"/>
          <w:szCs w:val="22"/>
        </w:rPr>
        <w:t>Cette approche de la Commission des Institutions et de la Révision constitutionnelle</w:t>
      </w:r>
      <w:r>
        <w:rPr>
          <w:rFonts w:ascii="Arial" w:hAnsi="Arial" w:cs="Arial"/>
          <w:sz w:val="22"/>
          <w:szCs w:val="22"/>
        </w:rPr>
        <w:t>,</w:t>
      </w:r>
      <w:r w:rsidRPr="00D1507B">
        <w:rPr>
          <w:rFonts w:ascii="Arial" w:hAnsi="Arial" w:cs="Arial"/>
          <w:sz w:val="22"/>
          <w:szCs w:val="22"/>
        </w:rPr>
        <w:t xml:space="preserve"> qui a trouvé l’accord du Conseil d'Etat</w:t>
      </w:r>
      <w:r>
        <w:rPr>
          <w:rFonts w:ascii="Arial" w:hAnsi="Arial" w:cs="Arial"/>
          <w:sz w:val="22"/>
          <w:szCs w:val="22"/>
        </w:rPr>
        <w:t>,</w:t>
      </w:r>
      <w:r w:rsidRPr="00D1507B">
        <w:rPr>
          <w:rFonts w:ascii="Arial" w:hAnsi="Arial" w:cs="Arial"/>
          <w:sz w:val="22"/>
          <w:szCs w:val="22"/>
        </w:rPr>
        <w:t xml:space="preserve"> conduit à la proposition de supprimer dans la Constitution luxembourgeoise l’article 10 qui réserve au pouvoir législatif la prérogative de décision en matière de naturalisation.</w:t>
      </w:r>
    </w:p>
    <w:p w:rsidR="00255463" w:rsidRDefault="00255463" w:rsidP="00255463">
      <w:pPr>
        <w:jc w:val="both"/>
      </w:pPr>
    </w:p>
    <w:p w:rsidR="006C0DA4" w:rsidRDefault="006C0DA4" w:rsidP="006C0DA4">
      <w:pPr>
        <w:jc w:val="both"/>
      </w:pPr>
    </w:p>
    <w:sectPr w:rsidR="006C0DA4" w:rsidSect="0029794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409D">
      <w:r>
        <w:separator/>
      </w:r>
    </w:p>
  </w:endnote>
  <w:endnote w:type="continuationSeparator" w:id="0">
    <w:p w:rsidR="00000000" w:rsidRDefault="0084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42" w:rsidRDefault="00297942" w:rsidP="0029794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97942" w:rsidRDefault="002979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42" w:rsidRDefault="00297942" w:rsidP="0029794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6BD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97942" w:rsidRDefault="002979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409D">
      <w:r>
        <w:separator/>
      </w:r>
    </w:p>
  </w:footnote>
  <w:footnote w:type="continuationSeparator" w:id="0">
    <w:p w:rsidR="00000000" w:rsidRDefault="0084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076BD3"/>
    <w:rsid w:val="00255463"/>
    <w:rsid w:val="00297942"/>
    <w:rsid w:val="00592DBC"/>
    <w:rsid w:val="006C0DA4"/>
    <w:rsid w:val="00710877"/>
    <w:rsid w:val="0084409D"/>
    <w:rsid w:val="00B12F3E"/>
    <w:rsid w:val="00DE45A4"/>
    <w:rsid w:val="00E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EEF0550-36FC-4A16-B6D2-1617C833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29794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9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révision de l’article 68 de la Constitution</dc:title>
  <dc:subject/>
  <dc:creator>Laurent Besch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