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43" w:rsidRDefault="00EF4443" w:rsidP="00EF44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D91F97">
        <w:rPr>
          <w:rFonts w:ascii="Arial" w:hAnsi="Arial" w:cs="Arial"/>
          <w:b/>
          <w:bCs/>
        </w:rPr>
        <w:t>5453 –</w:t>
      </w:r>
      <w:r>
        <w:rPr>
          <w:rFonts w:ascii="Arial" w:hAnsi="Arial" w:cs="Arial"/>
          <w:b/>
          <w:bCs/>
        </w:rPr>
        <w:t xml:space="preserve"> Résumé</w:t>
      </w:r>
    </w:p>
    <w:p w:rsidR="00EF4443" w:rsidRDefault="00EF4443" w:rsidP="00EF44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4443" w:rsidRDefault="00EF4443" w:rsidP="00EF44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1F97">
        <w:rPr>
          <w:rFonts w:ascii="Arial" w:hAnsi="Arial" w:cs="Arial"/>
        </w:rPr>
        <w:t>Le présent projet de loi transpose la directive 2003/35/CE modifiant les directives</w:t>
      </w:r>
      <w:r>
        <w:rPr>
          <w:rFonts w:ascii="Arial" w:hAnsi="Arial" w:cs="Arial"/>
        </w:rPr>
        <w:t xml:space="preserve"> </w:t>
      </w:r>
      <w:r w:rsidRPr="00D91F97">
        <w:rPr>
          <w:rFonts w:ascii="Arial" w:hAnsi="Arial" w:cs="Arial"/>
        </w:rPr>
        <w:t>85/337/CEE et 96/61/CE dites respectivement „EIE“ et „IPPC“ uniquement en ce qui concerne la</w:t>
      </w:r>
      <w:r>
        <w:rPr>
          <w:rFonts w:ascii="Arial" w:hAnsi="Arial" w:cs="Arial"/>
        </w:rPr>
        <w:t xml:space="preserve"> </w:t>
      </w:r>
      <w:r w:rsidRPr="00D91F97">
        <w:rPr>
          <w:rFonts w:ascii="Arial" w:hAnsi="Arial" w:cs="Arial"/>
        </w:rPr>
        <w:t>participation du public au processus décisionnel et l’accès à la justice. Quant à la participation du public</w:t>
      </w:r>
      <w:r>
        <w:rPr>
          <w:rFonts w:ascii="Arial" w:hAnsi="Arial" w:cs="Arial"/>
        </w:rPr>
        <w:t xml:space="preserve"> </w:t>
      </w:r>
      <w:r w:rsidRPr="00D91F97">
        <w:rPr>
          <w:rFonts w:ascii="Arial" w:hAnsi="Arial" w:cs="Arial"/>
        </w:rPr>
        <w:t>à l’élaboration de certains plans et programmes relatifs à l’environnement, ils feront l’objet d’un projet</w:t>
      </w:r>
      <w:r>
        <w:rPr>
          <w:rFonts w:ascii="Arial" w:hAnsi="Arial" w:cs="Arial"/>
        </w:rPr>
        <w:t xml:space="preserve"> </w:t>
      </w:r>
      <w:r w:rsidRPr="00D91F97">
        <w:rPr>
          <w:rFonts w:ascii="Arial" w:hAnsi="Arial" w:cs="Arial"/>
        </w:rPr>
        <w:t xml:space="preserve">de législation </w:t>
      </w:r>
      <w:r w:rsidRPr="00D91F97">
        <w:rPr>
          <w:rFonts w:ascii="Arial" w:hAnsi="Arial" w:cs="Arial"/>
          <w:i/>
          <w:iCs/>
        </w:rPr>
        <w:t>ad ho</w:t>
      </w:r>
      <w:r>
        <w:rPr>
          <w:rFonts w:ascii="Arial" w:hAnsi="Arial" w:cs="Arial"/>
          <w:i/>
          <w:iCs/>
        </w:rPr>
        <w:t>c</w:t>
      </w:r>
      <w:r w:rsidRPr="00D91F97">
        <w:rPr>
          <w:rFonts w:ascii="Arial" w:hAnsi="Arial" w:cs="Arial"/>
        </w:rPr>
        <w:t xml:space="preserve">. Il s’agit donc d’une transposition </w:t>
      </w:r>
      <w:r w:rsidR="00BF23B1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D91F97">
        <w:rPr>
          <w:rFonts w:ascii="Arial" w:hAnsi="Arial" w:cs="Arial"/>
        </w:rPr>
        <w:t>n’adapte la loi modifiée du 10 juin 1999 relative aux établissements classés que sur ces points particuliers.</w:t>
      </w:r>
    </w:p>
    <w:p w:rsidR="00EF4443" w:rsidRPr="00D91F97" w:rsidRDefault="00EF4443" w:rsidP="00EF44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1F97">
        <w:rPr>
          <w:rFonts w:ascii="Arial" w:hAnsi="Arial" w:cs="Arial"/>
        </w:rPr>
        <w:t xml:space="preserve">Les directives </w:t>
      </w:r>
      <w:r w:rsidR="00BF23B1" w:rsidRPr="00D91F97">
        <w:rPr>
          <w:rFonts w:ascii="Arial" w:hAnsi="Arial" w:cs="Arial"/>
        </w:rPr>
        <w:t>85/337/CEE et 96/61/CE</w:t>
      </w:r>
      <w:r w:rsidRPr="00D91F97">
        <w:rPr>
          <w:rFonts w:ascii="Arial" w:hAnsi="Arial" w:cs="Arial"/>
        </w:rPr>
        <w:t xml:space="preserve"> sont modifiées afin d’être rendues parfaitement compatibles avec les dispositions</w:t>
      </w:r>
      <w:r>
        <w:rPr>
          <w:rFonts w:ascii="Arial" w:hAnsi="Arial" w:cs="Arial"/>
        </w:rPr>
        <w:t xml:space="preserve"> </w:t>
      </w:r>
      <w:r w:rsidRPr="00D91F97">
        <w:rPr>
          <w:rFonts w:ascii="Arial" w:hAnsi="Arial" w:cs="Arial"/>
        </w:rPr>
        <w:t>de la Convention d’Aarhus et notamment ses articles 6 et 9, paragraphes 2 et 4. La Convention</w:t>
      </w:r>
      <w:r>
        <w:rPr>
          <w:rFonts w:ascii="Arial" w:hAnsi="Arial" w:cs="Arial"/>
        </w:rPr>
        <w:t xml:space="preserve"> </w:t>
      </w:r>
      <w:r w:rsidRPr="00D91F97">
        <w:rPr>
          <w:rFonts w:ascii="Arial" w:hAnsi="Arial" w:cs="Arial"/>
        </w:rPr>
        <w:t>d’Aarhus sur l’accès à l’information, la participation du public au processus décisionnel et l’accès à la</w:t>
      </w:r>
      <w:r>
        <w:rPr>
          <w:rFonts w:ascii="Arial" w:hAnsi="Arial" w:cs="Arial"/>
        </w:rPr>
        <w:t xml:space="preserve"> </w:t>
      </w:r>
      <w:r w:rsidRPr="00D91F97">
        <w:rPr>
          <w:rFonts w:ascii="Arial" w:hAnsi="Arial" w:cs="Arial"/>
        </w:rPr>
        <w:t>justice en matière d’environnement a notamment pour objectif de garantir les droits de participation</w:t>
      </w:r>
      <w:r>
        <w:rPr>
          <w:rFonts w:ascii="Arial" w:hAnsi="Arial" w:cs="Arial"/>
        </w:rPr>
        <w:t xml:space="preserve"> </w:t>
      </w:r>
      <w:r w:rsidRPr="00D91F97">
        <w:rPr>
          <w:rFonts w:ascii="Arial" w:hAnsi="Arial" w:cs="Arial"/>
        </w:rPr>
        <w:t>du public aux procédures décisionnelles et partant de promouvoir la transparence dudit processus et la</w:t>
      </w:r>
      <w:r>
        <w:rPr>
          <w:rFonts w:ascii="Arial" w:hAnsi="Arial" w:cs="Arial"/>
        </w:rPr>
        <w:t xml:space="preserve"> </w:t>
      </w:r>
      <w:r w:rsidRPr="00D91F97">
        <w:rPr>
          <w:rFonts w:ascii="Arial" w:hAnsi="Arial" w:cs="Arial"/>
        </w:rPr>
        <w:t>sensibilisation du public en la matière.</w:t>
      </w:r>
    </w:p>
    <w:p w:rsidR="00EF4443" w:rsidRPr="00D91F97" w:rsidRDefault="00EF4443" w:rsidP="00EF44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1F97">
        <w:rPr>
          <w:rFonts w:ascii="Arial" w:hAnsi="Arial" w:cs="Arial"/>
        </w:rPr>
        <w:t>L’article 6 de la Convention prévoit une participation du public aux décisions relatives aux activités</w:t>
      </w:r>
      <w:r>
        <w:rPr>
          <w:rFonts w:ascii="Arial" w:hAnsi="Arial" w:cs="Arial"/>
        </w:rPr>
        <w:t xml:space="preserve"> </w:t>
      </w:r>
      <w:r w:rsidRPr="00D91F97">
        <w:rPr>
          <w:rFonts w:ascii="Arial" w:hAnsi="Arial" w:cs="Arial"/>
        </w:rPr>
        <w:t>particulières énumérées à son annexe I et aux activités non énumérées dans l’annexe I qui peuvent</w:t>
      </w:r>
      <w:r>
        <w:rPr>
          <w:rFonts w:ascii="Arial" w:hAnsi="Arial" w:cs="Arial"/>
        </w:rPr>
        <w:t xml:space="preserve"> </w:t>
      </w:r>
      <w:r w:rsidRPr="00D91F97">
        <w:rPr>
          <w:rFonts w:ascii="Arial" w:hAnsi="Arial" w:cs="Arial"/>
        </w:rPr>
        <w:t>avoir un effet important sur l’environnement.</w:t>
      </w:r>
    </w:p>
    <w:p w:rsidR="00EF4443" w:rsidRPr="00D91F97" w:rsidRDefault="00EF4443" w:rsidP="00EF44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1F97">
        <w:rPr>
          <w:rFonts w:ascii="Arial" w:hAnsi="Arial" w:cs="Arial"/>
        </w:rPr>
        <w:t>L’article 9, paragraphes 2 et 4 de la Convention prévoit un accès à des procédures juridictionnelles</w:t>
      </w:r>
      <w:r>
        <w:rPr>
          <w:rFonts w:ascii="Arial" w:hAnsi="Arial" w:cs="Arial"/>
        </w:rPr>
        <w:t xml:space="preserve"> </w:t>
      </w:r>
      <w:r w:rsidRPr="00D91F97">
        <w:rPr>
          <w:rFonts w:ascii="Arial" w:hAnsi="Arial" w:cs="Arial"/>
        </w:rPr>
        <w:t>ou autres permettant de contester la légalité, quant au fond et à la procédure des décisions, des actes</w:t>
      </w:r>
      <w:r>
        <w:rPr>
          <w:rFonts w:ascii="Arial" w:hAnsi="Arial" w:cs="Arial"/>
        </w:rPr>
        <w:t xml:space="preserve"> </w:t>
      </w:r>
      <w:r w:rsidRPr="00D91F97">
        <w:rPr>
          <w:rFonts w:ascii="Arial" w:hAnsi="Arial" w:cs="Arial"/>
        </w:rPr>
        <w:t>ou omissions tombant sous le coup des dispositions de l’article 6 relatives à la participation du</w:t>
      </w:r>
      <w:r>
        <w:rPr>
          <w:rFonts w:ascii="Arial" w:hAnsi="Arial" w:cs="Arial"/>
        </w:rPr>
        <w:t xml:space="preserve"> </w:t>
      </w:r>
      <w:r w:rsidRPr="00D91F97">
        <w:rPr>
          <w:rFonts w:ascii="Arial" w:hAnsi="Arial" w:cs="Arial"/>
        </w:rPr>
        <w:t>public.</w:t>
      </w:r>
    </w:p>
    <w:p w:rsidR="00EF4443" w:rsidRPr="00D91F97" w:rsidRDefault="00EF4443" w:rsidP="00EF44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1F97">
        <w:rPr>
          <w:rFonts w:ascii="Arial" w:hAnsi="Arial" w:cs="Arial"/>
        </w:rPr>
        <w:t xml:space="preserve">Concernant la directive „IPPC“, la loi du 19 novembre 2003 a adapté la législation </w:t>
      </w:r>
      <w:proofErr w:type="spellStart"/>
      <w:r w:rsidRPr="00D91F97">
        <w:rPr>
          <w:rFonts w:ascii="Arial" w:hAnsi="Arial" w:cs="Arial"/>
        </w:rPr>
        <w:t>commodo</w:t>
      </w:r>
      <w:proofErr w:type="spellEnd"/>
      <w:r w:rsidRPr="00D91F97">
        <w:rPr>
          <w:rFonts w:ascii="Arial" w:hAnsi="Arial" w:cs="Arial"/>
        </w:rPr>
        <w:t>/</w:t>
      </w:r>
      <w:proofErr w:type="spellStart"/>
      <w:r w:rsidRPr="00D91F97">
        <w:rPr>
          <w:rFonts w:ascii="Arial" w:hAnsi="Arial" w:cs="Arial"/>
        </w:rPr>
        <w:t>incommodo</w:t>
      </w:r>
      <w:proofErr w:type="spellEnd"/>
      <w:r>
        <w:rPr>
          <w:rFonts w:ascii="Arial" w:hAnsi="Arial" w:cs="Arial"/>
        </w:rPr>
        <w:t xml:space="preserve"> </w:t>
      </w:r>
      <w:r w:rsidRPr="00D91F97">
        <w:rPr>
          <w:rFonts w:ascii="Arial" w:hAnsi="Arial" w:cs="Arial"/>
        </w:rPr>
        <w:t>en vue de transposer explicitement certaines dispositions de ladite directive.</w:t>
      </w:r>
      <w:r>
        <w:rPr>
          <w:rFonts w:ascii="Arial" w:hAnsi="Arial" w:cs="Arial"/>
        </w:rPr>
        <w:t xml:space="preserve"> </w:t>
      </w:r>
    </w:p>
    <w:p w:rsidR="00EF4443" w:rsidRPr="00D91F97" w:rsidRDefault="00EF4443" w:rsidP="00EF44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1F97">
        <w:rPr>
          <w:rFonts w:ascii="Arial" w:hAnsi="Arial" w:cs="Arial"/>
        </w:rPr>
        <w:t>Concernant la directive „évaluation des incidences sur l’environnement“, la législation</w:t>
      </w:r>
      <w:r>
        <w:rPr>
          <w:rFonts w:ascii="Arial" w:hAnsi="Arial" w:cs="Arial"/>
        </w:rPr>
        <w:t xml:space="preserve"> </w:t>
      </w:r>
      <w:proofErr w:type="spellStart"/>
      <w:r w:rsidRPr="00D91F97">
        <w:rPr>
          <w:rFonts w:ascii="Arial" w:hAnsi="Arial" w:cs="Arial"/>
        </w:rPr>
        <w:t>commodo</w:t>
      </w:r>
      <w:proofErr w:type="spellEnd"/>
      <w:r w:rsidRPr="00D91F97">
        <w:rPr>
          <w:rFonts w:ascii="Arial" w:hAnsi="Arial" w:cs="Arial"/>
        </w:rPr>
        <w:t>/</w:t>
      </w:r>
      <w:proofErr w:type="spellStart"/>
      <w:r w:rsidRPr="00D91F97">
        <w:rPr>
          <w:rFonts w:ascii="Arial" w:hAnsi="Arial" w:cs="Arial"/>
        </w:rPr>
        <w:t>incommodo</w:t>
      </w:r>
      <w:proofErr w:type="spellEnd"/>
      <w:r w:rsidRPr="00D91F97">
        <w:rPr>
          <w:rFonts w:ascii="Arial" w:hAnsi="Arial" w:cs="Arial"/>
        </w:rPr>
        <w:t xml:space="preserve"> en reprend également les dispositions essentielles, les détails d’exécution étant</w:t>
      </w:r>
      <w:r>
        <w:rPr>
          <w:rFonts w:ascii="Arial" w:hAnsi="Arial" w:cs="Arial"/>
        </w:rPr>
        <w:t xml:space="preserve"> </w:t>
      </w:r>
      <w:r w:rsidRPr="00D91F97">
        <w:rPr>
          <w:rFonts w:ascii="Arial" w:hAnsi="Arial" w:cs="Arial"/>
        </w:rPr>
        <w:t>précisés par règlement grand-ducal.</w:t>
      </w:r>
    </w:p>
    <w:p w:rsidR="00BF23B1" w:rsidRDefault="00BF23B1" w:rsidP="00EF44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BF2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443"/>
    <w:rsid w:val="002D31CF"/>
    <w:rsid w:val="00BF23B1"/>
    <w:rsid w:val="00EF4443"/>
    <w:rsid w:val="00F0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859A68C-214B-411E-A51F-A1F6E2D7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443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BF2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5453 – Résumé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5453 – Résumé</dc:title>
  <dc:subject/>
  <dc:creator>Rachel Moris</dc:creator>
  <cp:keywords/>
  <dc:description/>
  <cp:lastModifiedBy>SYSTEM</cp:lastModifiedBy>
  <cp:revision>2</cp:revision>
  <cp:lastPrinted>2005-11-17T13:53:00Z</cp:lastPrinted>
  <dcterms:created xsi:type="dcterms:W3CDTF">2024-02-21T07:42:00Z</dcterms:created>
  <dcterms:modified xsi:type="dcterms:W3CDTF">2024-02-21T07:42:00Z</dcterms:modified>
</cp:coreProperties>
</file>