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6D04E" w14:textId="67D2BAC6" w:rsidR="00E71A71" w:rsidRPr="00E71A71" w:rsidRDefault="00E71A71" w:rsidP="00E71A71">
      <w:pPr>
        <w:tabs>
          <w:tab w:val="left" w:pos="4451"/>
        </w:tabs>
        <w:autoSpaceDE w:val="0"/>
        <w:autoSpaceDN w:val="0"/>
        <w:adjustRightInd w:val="0"/>
        <w:spacing w:after="0" w:line="240" w:lineRule="auto"/>
        <w:jc w:val="center"/>
        <w:rPr>
          <w:rFonts w:ascii="Arial" w:hAnsi="Arial" w:cs="Arial"/>
          <w:b/>
          <w:bCs/>
          <w:sz w:val="28"/>
          <w:szCs w:val="28"/>
          <w:lang w:val="fr-CH"/>
        </w:rPr>
      </w:pPr>
      <w:r w:rsidRPr="00E71A71">
        <w:rPr>
          <w:rFonts w:ascii="Arial" w:hAnsi="Arial" w:cs="Arial"/>
          <w:b/>
          <w:bCs/>
          <w:sz w:val="28"/>
          <w:szCs w:val="28"/>
          <w:lang w:val="fr-CH"/>
        </w:rPr>
        <w:t>N° 84</w:t>
      </w:r>
      <w:r w:rsidR="009C0D4E">
        <w:rPr>
          <w:rFonts w:ascii="Arial" w:hAnsi="Arial" w:cs="Arial"/>
          <w:b/>
          <w:bCs/>
          <w:sz w:val="28"/>
          <w:szCs w:val="28"/>
          <w:lang w:val="fr-CH"/>
        </w:rPr>
        <w:t>55</w:t>
      </w:r>
    </w:p>
    <w:p w14:paraId="55A21E12" w14:textId="77777777" w:rsidR="00E71A71" w:rsidRPr="00E71A71" w:rsidRDefault="00E71A71" w:rsidP="00E71A71">
      <w:pPr>
        <w:tabs>
          <w:tab w:val="left" w:pos="4451"/>
        </w:tabs>
        <w:autoSpaceDE w:val="0"/>
        <w:autoSpaceDN w:val="0"/>
        <w:adjustRightInd w:val="0"/>
        <w:spacing w:after="0" w:line="240" w:lineRule="auto"/>
        <w:jc w:val="center"/>
        <w:rPr>
          <w:rFonts w:ascii="Arial" w:hAnsi="Arial" w:cs="Arial"/>
          <w:b/>
          <w:bCs/>
          <w:sz w:val="28"/>
          <w:szCs w:val="28"/>
          <w:lang w:val="fr-CH"/>
        </w:rPr>
      </w:pPr>
    </w:p>
    <w:p w14:paraId="47687B4B" w14:textId="77777777" w:rsidR="00E71A71" w:rsidRPr="00E71A71" w:rsidRDefault="00E71A71" w:rsidP="00E71A71">
      <w:pPr>
        <w:autoSpaceDE w:val="0"/>
        <w:autoSpaceDN w:val="0"/>
        <w:adjustRightInd w:val="0"/>
        <w:spacing w:after="0" w:line="240" w:lineRule="auto"/>
        <w:jc w:val="center"/>
        <w:rPr>
          <w:rFonts w:ascii="Arial" w:hAnsi="Arial" w:cs="Arial"/>
          <w:bCs/>
          <w:sz w:val="28"/>
          <w:szCs w:val="28"/>
          <w:lang w:val="fr-CH"/>
        </w:rPr>
      </w:pPr>
      <w:r w:rsidRPr="00E71A71">
        <w:rPr>
          <w:rFonts w:ascii="Arial" w:hAnsi="Arial" w:cs="Arial"/>
          <w:bCs/>
          <w:sz w:val="28"/>
          <w:szCs w:val="28"/>
          <w:lang w:val="fr-CH"/>
        </w:rPr>
        <w:t>CHAMBRE DES DÉPUTÉS</w:t>
      </w:r>
    </w:p>
    <w:p w14:paraId="0E4ED586" w14:textId="77777777" w:rsidR="00E71A71" w:rsidRPr="00E71A71" w:rsidRDefault="00E71A71" w:rsidP="00E71A71">
      <w:pPr>
        <w:pBdr>
          <w:bottom w:val="thinThickLargeGap" w:sz="24" w:space="1" w:color="auto"/>
        </w:pBdr>
        <w:autoSpaceDE w:val="0"/>
        <w:autoSpaceDN w:val="0"/>
        <w:adjustRightInd w:val="0"/>
        <w:spacing w:after="0" w:line="240" w:lineRule="auto"/>
        <w:rPr>
          <w:rFonts w:ascii="Arial" w:hAnsi="Arial" w:cs="Arial"/>
          <w:b/>
          <w:bCs/>
          <w:szCs w:val="20"/>
          <w:lang w:val="fr-CH"/>
        </w:rPr>
      </w:pPr>
    </w:p>
    <w:p w14:paraId="01623107" w14:textId="77777777" w:rsidR="00E71A71" w:rsidRPr="00E71A71" w:rsidRDefault="00E71A71" w:rsidP="00E71A71">
      <w:pPr>
        <w:autoSpaceDE w:val="0"/>
        <w:autoSpaceDN w:val="0"/>
        <w:adjustRightInd w:val="0"/>
        <w:spacing w:after="0" w:line="240" w:lineRule="auto"/>
        <w:jc w:val="center"/>
        <w:rPr>
          <w:rFonts w:ascii="Arial" w:hAnsi="Arial" w:cs="Arial"/>
          <w:b/>
          <w:bCs/>
          <w:spacing w:val="76"/>
          <w:sz w:val="36"/>
          <w:szCs w:val="36"/>
          <w:lang w:val="fr-CH"/>
        </w:rPr>
      </w:pPr>
    </w:p>
    <w:p w14:paraId="2EFF87A0" w14:textId="77777777" w:rsidR="00E71A71" w:rsidRPr="00E71A71" w:rsidRDefault="00E71A71" w:rsidP="00E71A71">
      <w:pPr>
        <w:autoSpaceDE w:val="0"/>
        <w:autoSpaceDN w:val="0"/>
        <w:adjustRightInd w:val="0"/>
        <w:spacing w:after="0" w:line="240" w:lineRule="auto"/>
        <w:jc w:val="center"/>
        <w:rPr>
          <w:rFonts w:ascii="Arial" w:hAnsi="Arial" w:cs="Arial"/>
          <w:b/>
          <w:bCs/>
          <w:spacing w:val="76"/>
          <w:sz w:val="36"/>
          <w:szCs w:val="36"/>
          <w:lang w:val="fr-CH"/>
        </w:rPr>
      </w:pPr>
      <w:r w:rsidRPr="00E71A71">
        <w:rPr>
          <w:rFonts w:ascii="Arial" w:hAnsi="Arial" w:cs="Arial"/>
          <w:b/>
          <w:bCs/>
          <w:spacing w:val="76"/>
          <w:sz w:val="36"/>
          <w:szCs w:val="36"/>
          <w:lang w:val="fr-CH"/>
        </w:rPr>
        <w:t>PROJET DE LOI</w:t>
      </w:r>
    </w:p>
    <w:p w14:paraId="1C02D3CE" w14:textId="77777777" w:rsidR="00E71A71" w:rsidRPr="00E71A71" w:rsidRDefault="00E71A71" w:rsidP="00E71A71">
      <w:pPr>
        <w:autoSpaceDE w:val="0"/>
        <w:autoSpaceDN w:val="0"/>
        <w:adjustRightInd w:val="0"/>
        <w:spacing w:after="0" w:line="240" w:lineRule="auto"/>
        <w:jc w:val="center"/>
        <w:rPr>
          <w:rFonts w:ascii="Arial" w:hAnsi="Arial" w:cs="Arial"/>
          <w:b/>
          <w:bCs/>
          <w:spacing w:val="76"/>
          <w:sz w:val="36"/>
          <w:szCs w:val="36"/>
          <w:lang w:val="fr-CH"/>
        </w:rPr>
      </w:pPr>
    </w:p>
    <w:p w14:paraId="44124375" w14:textId="77777777" w:rsidR="009C0D4E" w:rsidRPr="00C95D50" w:rsidRDefault="009C0D4E" w:rsidP="009C0D4E">
      <w:pPr>
        <w:pStyle w:val="Sansinterligne"/>
        <w:jc w:val="center"/>
        <w:rPr>
          <w:rFonts w:ascii="Arial" w:hAnsi="Arial" w:cs="Arial"/>
          <w:b/>
          <w:bCs/>
          <w:sz w:val="22"/>
          <w:szCs w:val="22"/>
          <w:lang w:val="fr-CH"/>
        </w:rPr>
      </w:pPr>
      <w:r w:rsidRPr="00C95D50">
        <w:rPr>
          <w:rFonts w:ascii="Arial" w:hAnsi="Arial" w:cs="Arial"/>
          <w:b/>
          <w:bCs/>
          <w:sz w:val="22"/>
          <w:szCs w:val="22"/>
          <w:lang w:val="fr-CH"/>
        </w:rPr>
        <w:t>portant approbation de l’Accord entre le Gouvernement du Grand-Duché de Luxembourg et le Conseil Fédéral Suisse relatif à la protection réciproque et à l’échange d’informations classifiées, fait à Luxembourg, le 13 mai 2024</w:t>
      </w:r>
    </w:p>
    <w:p w14:paraId="72B8923F" w14:textId="70A6A4EE" w:rsidR="00E71A71" w:rsidRDefault="00E71A71" w:rsidP="00E71A71">
      <w:pPr>
        <w:spacing w:after="0" w:line="240" w:lineRule="auto"/>
        <w:jc w:val="center"/>
        <w:rPr>
          <w:rFonts w:ascii="Arial" w:hAnsi="Arial" w:cs="Arial"/>
          <w:b/>
          <w:bCs/>
          <w:sz w:val="22"/>
          <w:szCs w:val="22"/>
          <w:lang w:val="fr-CH"/>
        </w:rPr>
      </w:pPr>
    </w:p>
    <w:p w14:paraId="7E43D409" w14:textId="77777777" w:rsidR="00E71A71" w:rsidRPr="00E71A71" w:rsidRDefault="00E71A71" w:rsidP="00E71A71">
      <w:pPr>
        <w:spacing w:after="0" w:line="240" w:lineRule="auto"/>
        <w:jc w:val="center"/>
        <w:rPr>
          <w:rFonts w:ascii="Arial" w:hAnsi="Arial" w:cs="Arial"/>
          <w:b/>
          <w:bCs/>
          <w:lang w:val="fr-CH"/>
        </w:rPr>
      </w:pPr>
    </w:p>
    <w:p w14:paraId="2DCF5E6E" w14:textId="77777777" w:rsidR="00E71A71" w:rsidRPr="00E71A71" w:rsidRDefault="00E71A71" w:rsidP="00E71A71">
      <w:pPr>
        <w:autoSpaceDE w:val="0"/>
        <w:autoSpaceDN w:val="0"/>
        <w:adjustRightInd w:val="0"/>
        <w:spacing w:after="0" w:line="240" w:lineRule="auto"/>
        <w:jc w:val="center"/>
        <w:rPr>
          <w:rFonts w:ascii="Arial" w:hAnsi="Arial" w:cs="Arial"/>
          <w:b/>
          <w:bCs/>
          <w:lang w:val="fr-CH" w:eastAsia="lb-LU"/>
        </w:rPr>
      </w:pPr>
      <w:r w:rsidRPr="00E71A71">
        <w:rPr>
          <w:rFonts w:ascii="Arial" w:hAnsi="Arial" w:cs="Arial"/>
          <w:b/>
          <w:bCs/>
          <w:lang w:val="fr-CH" w:eastAsia="lb-LU"/>
        </w:rPr>
        <w:t>* * *</w:t>
      </w:r>
    </w:p>
    <w:p w14:paraId="0766749C" w14:textId="77777777" w:rsidR="00E71A71" w:rsidRPr="00E71A71" w:rsidRDefault="00E71A71" w:rsidP="00E71A71">
      <w:pPr>
        <w:autoSpaceDE w:val="0"/>
        <w:autoSpaceDN w:val="0"/>
        <w:adjustRightInd w:val="0"/>
        <w:spacing w:after="0" w:line="240" w:lineRule="auto"/>
        <w:jc w:val="center"/>
        <w:rPr>
          <w:rFonts w:ascii="Arial" w:hAnsi="Arial" w:cs="Arial"/>
          <w:b/>
          <w:bCs/>
          <w:sz w:val="22"/>
          <w:szCs w:val="22"/>
          <w:lang w:val="fr-CH" w:eastAsia="lb-LU"/>
        </w:rPr>
      </w:pPr>
    </w:p>
    <w:p w14:paraId="4EA8D20E" w14:textId="64011478" w:rsidR="00EC6E70" w:rsidRDefault="005B0186" w:rsidP="00EC6E70">
      <w:pPr>
        <w:jc w:val="center"/>
        <w:rPr>
          <w:rFonts w:ascii="Arial" w:hAnsi="Arial" w:cs="Arial"/>
          <w:b/>
          <w:sz w:val="22"/>
          <w:szCs w:val="22"/>
        </w:rPr>
      </w:pPr>
      <w:r w:rsidRPr="005C08D1">
        <w:rPr>
          <w:rFonts w:ascii="Arial" w:hAnsi="Arial" w:cs="Arial"/>
          <w:b/>
          <w:sz w:val="22"/>
          <w:szCs w:val="22"/>
        </w:rPr>
        <w:t>R</w:t>
      </w:r>
      <w:r>
        <w:rPr>
          <w:rFonts w:ascii="Arial" w:hAnsi="Arial" w:cs="Arial"/>
          <w:b/>
          <w:sz w:val="22"/>
          <w:szCs w:val="22"/>
        </w:rPr>
        <w:t>ÉSUMÉ</w:t>
      </w:r>
    </w:p>
    <w:p w14:paraId="52CAE222" w14:textId="77777777" w:rsidR="002A1A56" w:rsidRDefault="002A1A56" w:rsidP="00EC6E70">
      <w:pPr>
        <w:jc w:val="center"/>
        <w:rPr>
          <w:rFonts w:ascii="Arial" w:hAnsi="Arial" w:cs="Arial"/>
          <w:b/>
          <w:sz w:val="22"/>
          <w:szCs w:val="22"/>
        </w:rPr>
      </w:pPr>
    </w:p>
    <w:p w14:paraId="4403B0F0" w14:textId="77777777" w:rsidR="002E55D9" w:rsidRPr="002E55D9" w:rsidRDefault="002E55D9" w:rsidP="002E55D9">
      <w:pPr>
        <w:jc w:val="both"/>
        <w:rPr>
          <w:rFonts w:ascii="Arial" w:hAnsi="Arial" w:cs="Arial"/>
          <w:bCs/>
          <w:sz w:val="22"/>
          <w:szCs w:val="22"/>
        </w:rPr>
      </w:pPr>
      <w:r w:rsidRPr="002E55D9">
        <w:rPr>
          <w:rFonts w:ascii="Arial" w:hAnsi="Arial" w:cs="Arial"/>
          <w:bCs/>
          <w:sz w:val="22"/>
          <w:szCs w:val="22"/>
        </w:rPr>
        <w:t>Le projet de loi vise à approuver l'Accord entre le Gouvernement du Grand-Duché de Luxembourg et le Conseil Fédéral Suisse relatif à la protection réciproque et à l'échange d'informations classifiées, fait à Luxembourg le 13 mai 2024.</w:t>
      </w:r>
    </w:p>
    <w:p w14:paraId="5CA7B70F" w14:textId="14987CDC" w:rsidR="002E55D9" w:rsidRPr="002E55D9" w:rsidRDefault="002E55D9" w:rsidP="002E55D9">
      <w:pPr>
        <w:jc w:val="both"/>
        <w:rPr>
          <w:rFonts w:ascii="Arial" w:hAnsi="Arial" w:cs="Arial"/>
          <w:bCs/>
          <w:sz w:val="22"/>
          <w:szCs w:val="22"/>
        </w:rPr>
      </w:pPr>
      <w:r w:rsidRPr="002E55D9">
        <w:rPr>
          <w:rFonts w:ascii="Arial" w:hAnsi="Arial" w:cs="Arial"/>
          <w:bCs/>
          <w:sz w:val="22"/>
          <w:szCs w:val="22"/>
        </w:rPr>
        <w:t>Cet accord bilatéral établit le cadre juridique pour la protection et l'échange d'informations classifiées entre le Luxembourg et la Suisse, y compris avec les instances du secteur public et privé. Il s'inscrit dans la continuité de la politique</w:t>
      </w:r>
      <w:r w:rsidR="0085156B">
        <w:rPr>
          <w:rFonts w:ascii="Arial" w:hAnsi="Arial" w:cs="Arial"/>
          <w:bCs/>
          <w:sz w:val="22"/>
          <w:szCs w:val="22"/>
        </w:rPr>
        <w:t xml:space="preserve"> du </w:t>
      </w:r>
      <w:r w:rsidR="00B31375">
        <w:rPr>
          <w:rFonts w:ascii="Arial" w:hAnsi="Arial" w:cs="Arial"/>
          <w:bCs/>
          <w:sz w:val="22"/>
          <w:szCs w:val="22"/>
        </w:rPr>
        <w:t xml:space="preserve">gouvernement </w:t>
      </w:r>
      <w:r w:rsidR="00B31375" w:rsidRPr="002E55D9">
        <w:rPr>
          <w:rFonts w:ascii="Arial" w:hAnsi="Arial" w:cs="Arial"/>
          <w:bCs/>
          <w:sz w:val="22"/>
          <w:szCs w:val="22"/>
        </w:rPr>
        <w:t>luxembourgeois</w:t>
      </w:r>
      <w:r w:rsidRPr="002E55D9">
        <w:rPr>
          <w:rFonts w:ascii="Arial" w:hAnsi="Arial" w:cs="Arial"/>
          <w:bCs/>
          <w:sz w:val="22"/>
          <w:szCs w:val="22"/>
        </w:rPr>
        <w:t xml:space="preserve"> visant à conclure des accords similaires avec les États membres de l'U</w:t>
      </w:r>
      <w:r w:rsidR="0085156B">
        <w:rPr>
          <w:rFonts w:ascii="Arial" w:hAnsi="Arial" w:cs="Arial"/>
          <w:bCs/>
          <w:sz w:val="22"/>
          <w:szCs w:val="22"/>
        </w:rPr>
        <w:t>E</w:t>
      </w:r>
      <w:r w:rsidRPr="002E55D9">
        <w:rPr>
          <w:rFonts w:ascii="Arial" w:hAnsi="Arial" w:cs="Arial"/>
          <w:bCs/>
          <w:sz w:val="22"/>
          <w:szCs w:val="22"/>
        </w:rPr>
        <w:t>, de l'OTAN et d'autres pays partenaires depuis 2005.</w:t>
      </w:r>
    </w:p>
    <w:p w14:paraId="7587BB84" w14:textId="77777777" w:rsidR="002E55D9" w:rsidRDefault="002E55D9" w:rsidP="002E55D9">
      <w:pPr>
        <w:jc w:val="both"/>
        <w:rPr>
          <w:rFonts w:ascii="Arial" w:hAnsi="Arial" w:cs="Arial"/>
          <w:bCs/>
          <w:sz w:val="22"/>
          <w:szCs w:val="22"/>
        </w:rPr>
      </w:pPr>
      <w:r w:rsidRPr="002E55D9">
        <w:rPr>
          <w:rFonts w:ascii="Arial" w:hAnsi="Arial" w:cs="Arial"/>
          <w:bCs/>
          <w:sz w:val="22"/>
          <w:szCs w:val="22"/>
        </w:rPr>
        <w:t>L'accord définit les principes fondamentaux et les règles procédurales qui régissent la protection et l'échange d'informations classifiées. Il précise notamment :</w:t>
      </w:r>
    </w:p>
    <w:p w14:paraId="0BB83A6E" w14:textId="77777777" w:rsidR="002E55D9" w:rsidRDefault="002E55D9" w:rsidP="006B1ABA">
      <w:pPr>
        <w:pStyle w:val="Paragraphedeliste"/>
        <w:numPr>
          <w:ilvl w:val="0"/>
          <w:numId w:val="12"/>
        </w:numPr>
        <w:jc w:val="both"/>
        <w:rPr>
          <w:rFonts w:ascii="Arial" w:hAnsi="Arial" w:cs="Arial"/>
          <w:bCs/>
          <w:sz w:val="22"/>
          <w:szCs w:val="22"/>
        </w:rPr>
      </w:pPr>
      <w:r w:rsidRPr="002E55D9">
        <w:rPr>
          <w:rFonts w:ascii="Arial" w:hAnsi="Arial" w:cs="Arial"/>
          <w:bCs/>
          <w:sz w:val="22"/>
          <w:szCs w:val="22"/>
        </w:rPr>
        <w:t>L'équivalence des niveaux de classification entre les deux pays</w:t>
      </w:r>
      <w:r>
        <w:rPr>
          <w:rFonts w:ascii="Arial" w:hAnsi="Arial" w:cs="Arial"/>
          <w:bCs/>
          <w:sz w:val="22"/>
          <w:szCs w:val="22"/>
        </w:rPr>
        <w:t> ;</w:t>
      </w:r>
    </w:p>
    <w:p w14:paraId="05DC7A3C" w14:textId="77777777" w:rsidR="002E55D9" w:rsidRDefault="002E55D9" w:rsidP="006B1ABA">
      <w:pPr>
        <w:pStyle w:val="Paragraphedeliste"/>
        <w:numPr>
          <w:ilvl w:val="0"/>
          <w:numId w:val="12"/>
        </w:numPr>
        <w:jc w:val="both"/>
        <w:rPr>
          <w:rFonts w:ascii="Arial" w:hAnsi="Arial" w:cs="Arial"/>
          <w:bCs/>
          <w:sz w:val="22"/>
          <w:szCs w:val="22"/>
        </w:rPr>
      </w:pPr>
      <w:r w:rsidRPr="002E55D9">
        <w:rPr>
          <w:rFonts w:ascii="Arial" w:hAnsi="Arial" w:cs="Arial"/>
          <w:bCs/>
          <w:sz w:val="22"/>
          <w:szCs w:val="22"/>
        </w:rPr>
        <w:t>La reconnaissance mutuelle des habilitations de sécurité</w:t>
      </w:r>
      <w:r>
        <w:rPr>
          <w:rFonts w:ascii="Arial" w:hAnsi="Arial" w:cs="Arial"/>
          <w:bCs/>
          <w:sz w:val="22"/>
          <w:szCs w:val="22"/>
        </w:rPr>
        <w:t> ;</w:t>
      </w:r>
    </w:p>
    <w:p w14:paraId="15240C0E" w14:textId="77777777" w:rsidR="002E55D9" w:rsidRDefault="002E55D9" w:rsidP="006B1ABA">
      <w:pPr>
        <w:pStyle w:val="Paragraphedeliste"/>
        <w:numPr>
          <w:ilvl w:val="0"/>
          <w:numId w:val="12"/>
        </w:numPr>
        <w:jc w:val="both"/>
        <w:rPr>
          <w:rFonts w:ascii="Arial" w:hAnsi="Arial" w:cs="Arial"/>
          <w:bCs/>
          <w:sz w:val="22"/>
          <w:szCs w:val="22"/>
        </w:rPr>
      </w:pPr>
      <w:r w:rsidRPr="002E55D9">
        <w:rPr>
          <w:rFonts w:ascii="Arial" w:hAnsi="Arial" w:cs="Arial"/>
          <w:bCs/>
          <w:sz w:val="22"/>
          <w:szCs w:val="22"/>
        </w:rPr>
        <w:t>Les modalités de transfert, reproduction, traduction et destruction des informations classifiées ;</w:t>
      </w:r>
    </w:p>
    <w:p w14:paraId="181FB197" w14:textId="77777777" w:rsidR="002E55D9" w:rsidRDefault="002E55D9" w:rsidP="006B1ABA">
      <w:pPr>
        <w:pStyle w:val="Paragraphedeliste"/>
        <w:numPr>
          <w:ilvl w:val="0"/>
          <w:numId w:val="12"/>
        </w:numPr>
        <w:jc w:val="both"/>
        <w:rPr>
          <w:rFonts w:ascii="Arial" w:hAnsi="Arial" w:cs="Arial"/>
          <w:bCs/>
          <w:sz w:val="22"/>
          <w:szCs w:val="22"/>
        </w:rPr>
      </w:pPr>
      <w:r w:rsidRPr="002E55D9">
        <w:rPr>
          <w:rFonts w:ascii="Arial" w:hAnsi="Arial" w:cs="Arial"/>
          <w:bCs/>
          <w:sz w:val="22"/>
          <w:szCs w:val="22"/>
        </w:rPr>
        <w:t>Les procédures relatives aux contrats classifiés</w:t>
      </w:r>
      <w:r>
        <w:rPr>
          <w:rFonts w:ascii="Arial" w:hAnsi="Arial" w:cs="Arial"/>
          <w:bCs/>
          <w:sz w:val="22"/>
          <w:szCs w:val="22"/>
        </w:rPr>
        <w:t> ;</w:t>
      </w:r>
    </w:p>
    <w:p w14:paraId="4380B8A8" w14:textId="77777777" w:rsidR="002E55D9" w:rsidRDefault="002E55D9" w:rsidP="006B1ABA">
      <w:pPr>
        <w:pStyle w:val="Paragraphedeliste"/>
        <w:numPr>
          <w:ilvl w:val="0"/>
          <w:numId w:val="12"/>
        </w:numPr>
        <w:jc w:val="both"/>
        <w:rPr>
          <w:rFonts w:ascii="Arial" w:hAnsi="Arial" w:cs="Arial"/>
          <w:bCs/>
          <w:sz w:val="22"/>
          <w:szCs w:val="22"/>
        </w:rPr>
      </w:pPr>
      <w:r>
        <w:rPr>
          <w:rFonts w:ascii="Arial" w:hAnsi="Arial" w:cs="Arial"/>
          <w:bCs/>
          <w:sz w:val="22"/>
          <w:szCs w:val="22"/>
        </w:rPr>
        <w:t>L</w:t>
      </w:r>
      <w:r w:rsidRPr="002E55D9">
        <w:rPr>
          <w:rFonts w:ascii="Arial" w:hAnsi="Arial" w:cs="Arial"/>
          <w:bCs/>
          <w:sz w:val="22"/>
          <w:szCs w:val="22"/>
        </w:rPr>
        <w:t>es dispositions concernant les visites impliquant l'accès à des informations classifiées</w:t>
      </w:r>
      <w:r>
        <w:rPr>
          <w:rFonts w:ascii="Arial" w:hAnsi="Arial" w:cs="Arial"/>
          <w:bCs/>
          <w:sz w:val="22"/>
          <w:szCs w:val="22"/>
        </w:rPr>
        <w:t> ;</w:t>
      </w:r>
    </w:p>
    <w:p w14:paraId="5B9F5535" w14:textId="50D92C82" w:rsidR="002E55D9" w:rsidRPr="002E55D9" w:rsidRDefault="002E55D9" w:rsidP="006B1ABA">
      <w:pPr>
        <w:pStyle w:val="Paragraphedeliste"/>
        <w:numPr>
          <w:ilvl w:val="0"/>
          <w:numId w:val="12"/>
        </w:numPr>
        <w:jc w:val="both"/>
        <w:rPr>
          <w:rFonts w:ascii="Arial" w:hAnsi="Arial" w:cs="Arial"/>
          <w:bCs/>
          <w:sz w:val="22"/>
          <w:szCs w:val="22"/>
        </w:rPr>
      </w:pPr>
      <w:r w:rsidRPr="002E55D9">
        <w:rPr>
          <w:rFonts w:ascii="Arial" w:hAnsi="Arial" w:cs="Arial"/>
          <w:bCs/>
          <w:sz w:val="22"/>
          <w:szCs w:val="22"/>
        </w:rPr>
        <w:t>Les mesures à prendre en cas d'infraction à la sécurité</w:t>
      </w:r>
      <w:r w:rsidR="006B1ABA">
        <w:rPr>
          <w:rFonts w:ascii="Arial" w:hAnsi="Arial" w:cs="Arial"/>
          <w:bCs/>
          <w:sz w:val="22"/>
          <w:szCs w:val="22"/>
        </w:rPr>
        <w:t>.</w:t>
      </w:r>
    </w:p>
    <w:p w14:paraId="0A94AECB" w14:textId="77777777" w:rsidR="002E55D9" w:rsidRPr="002E55D9" w:rsidRDefault="002E55D9" w:rsidP="002E55D9">
      <w:pPr>
        <w:jc w:val="both"/>
        <w:rPr>
          <w:rFonts w:ascii="Arial" w:hAnsi="Arial" w:cs="Arial"/>
          <w:bCs/>
          <w:sz w:val="22"/>
          <w:szCs w:val="22"/>
        </w:rPr>
      </w:pPr>
      <w:r w:rsidRPr="002E55D9">
        <w:rPr>
          <w:rFonts w:ascii="Arial" w:hAnsi="Arial" w:cs="Arial"/>
          <w:bCs/>
          <w:sz w:val="22"/>
          <w:szCs w:val="22"/>
        </w:rPr>
        <w:t>Le Luxembourg a déjà conclu vingt accords similaires avec d'autres pays depuis 2004, renforçant ainsi sa politique de sécurité globale face aux diverses menaces comme le terrorisme, la criminalité organisée, la prolifération d'armes de destruction massive, les cyber-attaques et l'espionnage industriel et technologique.</w:t>
      </w:r>
    </w:p>
    <w:p w14:paraId="029E241B" w14:textId="31DFA5B9" w:rsidR="00E71A71" w:rsidRPr="005B0186" w:rsidRDefault="002E55D9" w:rsidP="002E55D9">
      <w:pPr>
        <w:jc w:val="both"/>
        <w:rPr>
          <w:rFonts w:ascii="Arial" w:hAnsi="Arial" w:cs="Arial"/>
          <w:bCs/>
          <w:sz w:val="22"/>
          <w:szCs w:val="22"/>
          <w:lang w:eastAsia="lb-LU"/>
        </w:rPr>
      </w:pPr>
      <w:r w:rsidRPr="002E55D9">
        <w:rPr>
          <w:rFonts w:ascii="Arial" w:hAnsi="Arial" w:cs="Arial"/>
          <w:bCs/>
          <w:sz w:val="22"/>
          <w:szCs w:val="22"/>
        </w:rPr>
        <w:t>Ce projet de loi devrait avoir un impact neutre sur le budget de l'État luxembourgeois, puisqu'il ne prévoit pas de mesures engendrant des dépenses supplémentaires.</w:t>
      </w:r>
    </w:p>
    <w:sectPr w:rsidR="00E71A71" w:rsidRPr="005B0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33D45"/>
    <w:multiLevelType w:val="multilevel"/>
    <w:tmpl w:val="9F24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3735C"/>
    <w:multiLevelType w:val="hybridMultilevel"/>
    <w:tmpl w:val="C332DB3A"/>
    <w:lvl w:ilvl="0" w:tplc="BBE854EA">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93C549D"/>
    <w:multiLevelType w:val="hybridMultilevel"/>
    <w:tmpl w:val="C5001CCE"/>
    <w:lvl w:ilvl="0" w:tplc="BBE854E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09010C"/>
    <w:multiLevelType w:val="hybridMultilevel"/>
    <w:tmpl w:val="7EF28A5C"/>
    <w:lvl w:ilvl="0" w:tplc="A93CE99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6D618A"/>
    <w:multiLevelType w:val="hybridMultilevel"/>
    <w:tmpl w:val="B3F8E196"/>
    <w:lvl w:ilvl="0" w:tplc="17B00C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AB61992"/>
    <w:multiLevelType w:val="hybridMultilevel"/>
    <w:tmpl w:val="144E7854"/>
    <w:lvl w:ilvl="0" w:tplc="BBE854E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B41B0E"/>
    <w:multiLevelType w:val="hybridMultilevel"/>
    <w:tmpl w:val="DDFE1572"/>
    <w:lvl w:ilvl="0" w:tplc="4BC64A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5A7D46"/>
    <w:multiLevelType w:val="multilevel"/>
    <w:tmpl w:val="DDFE1572"/>
    <w:styleLink w:val="Listeactuelle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31270A"/>
    <w:multiLevelType w:val="hybridMultilevel"/>
    <w:tmpl w:val="7EF28A5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BF8790D"/>
    <w:multiLevelType w:val="hybridMultilevel"/>
    <w:tmpl w:val="738C61B8"/>
    <w:lvl w:ilvl="0" w:tplc="C0BA0FF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C7086A"/>
    <w:multiLevelType w:val="hybridMultilevel"/>
    <w:tmpl w:val="7EF28A5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CB75F03"/>
    <w:multiLevelType w:val="hybridMultilevel"/>
    <w:tmpl w:val="E77E891C"/>
    <w:lvl w:ilvl="0" w:tplc="BBE854E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902005">
    <w:abstractNumId w:val="11"/>
  </w:num>
  <w:num w:numId="2" w16cid:durableId="1969315192">
    <w:abstractNumId w:val="4"/>
  </w:num>
  <w:num w:numId="3" w16cid:durableId="802624743">
    <w:abstractNumId w:val="6"/>
  </w:num>
  <w:num w:numId="4" w16cid:durableId="1142234815">
    <w:abstractNumId w:val="7"/>
  </w:num>
  <w:num w:numId="5" w16cid:durableId="71392517">
    <w:abstractNumId w:val="3"/>
  </w:num>
  <w:num w:numId="6" w16cid:durableId="1870341157">
    <w:abstractNumId w:val="8"/>
  </w:num>
  <w:num w:numId="7" w16cid:durableId="669872909">
    <w:abstractNumId w:val="2"/>
  </w:num>
  <w:num w:numId="8" w16cid:durableId="2139641795">
    <w:abstractNumId w:val="5"/>
  </w:num>
  <w:num w:numId="9" w16cid:durableId="2127693909">
    <w:abstractNumId w:val="10"/>
  </w:num>
  <w:num w:numId="10" w16cid:durableId="762800290">
    <w:abstractNumId w:val="0"/>
  </w:num>
  <w:num w:numId="11" w16cid:durableId="602810969">
    <w:abstractNumId w:val="9"/>
  </w:num>
  <w:num w:numId="12" w16cid:durableId="583883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38"/>
    <w:rsid w:val="00027130"/>
    <w:rsid w:val="00057D9C"/>
    <w:rsid w:val="000B069C"/>
    <w:rsid w:val="0018059C"/>
    <w:rsid w:val="001E1D43"/>
    <w:rsid w:val="00274562"/>
    <w:rsid w:val="002A1A56"/>
    <w:rsid w:val="002E55D9"/>
    <w:rsid w:val="003736A5"/>
    <w:rsid w:val="00594A18"/>
    <w:rsid w:val="005B0186"/>
    <w:rsid w:val="00626236"/>
    <w:rsid w:val="006B1ABA"/>
    <w:rsid w:val="00716A68"/>
    <w:rsid w:val="00721783"/>
    <w:rsid w:val="00730335"/>
    <w:rsid w:val="0073692D"/>
    <w:rsid w:val="007B11D9"/>
    <w:rsid w:val="007C60A2"/>
    <w:rsid w:val="008168A2"/>
    <w:rsid w:val="0085156B"/>
    <w:rsid w:val="008B4C44"/>
    <w:rsid w:val="00910BA0"/>
    <w:rsid w:val="00987806"/>
    <w:rsid w:val="009C0D4E"/>
    <w:rsid w:val="009C284A"/>
    <w:rsid w:val="00A048E5"/>
    <w:rsid w:val="00A62AB5"/>
    <w:rsid w:val="00AA5364"/>
    <w:rsid w:val="00B02726"/>
    <w:rsid w:val="00B31375"/>
    <w:rsid w:val="00B64B38"/>
    <w:rsid w:val="00C56B63"/>
    <w:rsid w:val="00D35AFA"/>
    <w:rsid w:val="00DB7C15"/>
    <w:rsid w:val="00DE227A"/>
    <w:rsid w:val="00E71A71"/>
    <w:rsid w:val="00EC6E70"/>
    <w:rsid w:val="00F47A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DDEC"/>
  <w15:chartTrackingRefBased/>
  <w15:docId w15:val="{AE54FD88-0796-C243-8EE6-32722665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64B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64B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64B3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64B3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64B3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64B3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64B3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64B3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64B3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4B3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64B3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64B3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64B3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64B3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64B3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64B3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64B3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64B38"/>
    <w:rPr>
      <w:rFonts w:eastAsiaTheme="majorEastAsia" w:cstheme="majorBidi"/>
      <w:color w:val="272727" w:themeColor="text1" w:themeTint="D8"/>
    </w:rPr>
  </w:style>
  <w:style w:type="paragraph" w:styleId="Titre">
    <w:name w:val="Title"/>
    <w:basedOn w:val="Normal"/>
    <w:next w:val="Normal"/>
    <w:link w:val="TitreCar"/>
    <w:uiPriority w:val="10"/>
    <w:qFormat/>
    <w:rsid w:val="00B64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64B3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64B3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64B3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64B38"/>
    <w:pPr>
      <w:spacing w:before="160"/>
      <w:jc w:val="center"/>
    </w:pPr>
    <w:rPr>
      <w:i/>
      <w:iCs/>
      <w:color w:val="404040" w:themeColor="text1" w:themeTint="BF"/>
    </w:rPr>
  </w:style>
  <w:style w:type="character" w:customStyle="1" w:styleId="CitationCar">
    <w:name w:val="Citation Car"/>
    <w:basedOn w:val="Policepardfaut"/>
    <w:link w:val="Citation"/>
    <w:uiPriority w:val="29"/>
    <w:rsid w:val="00B64B38"/>
    <w:rPr>
      <w:i/>
      <w:iCs/>
      <w:color w:val="404040" w:themeColor="text1" w:themeTint="BF"/>
    </w:rPr>
  </w:style>
  <w:style w:type="paragraph" w:styleId="Paragraphedeliste">
    <w:name w:val="List Paragraph"/>
    <w:basedOn w:val="Normal"/>
    <w:uiPriority w:val="34"/>
    <w:qFormat/>
    <w:rsid w:val="00B64B38"/>
    <w:pPr>
      <w:ind w:left="720"/>
      <w:contextualSpacing/>
    </w:pPr>
  </w:style>
  <w:style w:type="character" w:styleId="Accentuationintense">
    <w:name w:val="Intense Emphasis"/>
    <w:basedOn w:val="Policepardfaut"/>
    <w:uiPriority w:val="21"/>
    <w:qFormat/>
    <w:rsid w:val="00B64B38"/>
    <w:rPr>
      <w:i/>
      <w:iCs/>
      <w:color w:val="0F4761" w:themeColor="accent1" w:themeShade="BF"/>
    </w:rPr>
  </w:style>
  <w:style w:type="paragraph" w:styleId="Citationintense">
    <w:name w:val="Intense Quote"/>
    <w:basedOn w:val="Normal"/>
    <w:next w:val="Normal"/>
    <w:link w:val="CitationintenseCar"/>
    <w:uiPriority w:val="30"/>
    <w:qFormat/>
    <w:rsid w:val="00B64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64B38"/>
    <w:rPr>
      <w:i/>
      <w:iCs/>
      <w:color w:val="0F4761" w:themeColor="accent1" w:themeShade="BF"/>
    </w:rPr>
  </w:style>
  <w:style w:type="character" w:styleId="Rfrenceintense">
    <w:name w:val="Intense Reference"/>
    <w:basedOn w:val="Policepardfaut"/>
    <w:uiPriority w:val="32"/>
    <w:qFormat/>
    <w:rsid w:val="00B64B38"/>
    <w:rPr>
      <w:b/>
      <w:bCs/>
      <w:smallCaps/>
      <w:color w:val="0F4761" w:themeColor="accent1" w:themeShade="BF"/>
      <w:spacing w:val="5"/>
    </w:rPr>
  </w:style>
  <w:style w:type="numbering" w:customStyle="1" w:styleId="Listeactuelle1">
    <w:name w:val="Liste actuelle1"/>
    <w:uiPriority w:val="99"/>
    <w:rsid w:val="00E71A71"/>
    <w:pPr>
      <w:numPr>
        <w:numId w:val="4"/>
      </w:numPr>
    </w:pPr>
  </w:style>
  <w:style w:type="paragraph" w:styleId="Sansinterligne">
    <w:name w:val="No Spacing"/>
    <w:uiPriority w:val="1"/>
    <w:qFormat/>
    <w:rsid w:val="009C0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352415">
      <w:bodyDiv w:val="1"/>
      <w:marLeft w:val="0"/>
      <w:marRight w:val="0"/>
      <w:marTop w:val="0"/>
      <w:marBottom w:val="0"/>
      <w:divBdr>
        <w:top w:val="none" w:sz="0" w:space="0" w:color="auto"/>
        <w:left w:val="none" w:sz="0" w:space="0" w:color="auto"/>
        <w:bottom w:val="none" w:sz="0" w:space="0" w:color="auto"/>
        <w:right w:val="none" w:sz="0" w:space="0" w:color="auto"/>
      </w:divBdr>
    </w:div>
    <w:div w:id="1533763061">
      <w:bodyDiv w:val="1"/>
      <w:marLeft w:val="0"/>
      <w:marRight w:val="0"/>
      <w:marTop w:val="0"/>
      <w:marBottom w:val="0"/>
      <w:divBdr>
        <w:top w:val="none" w:sz="0" w:space="0" w:color="auto"/>
        <w:left w:val="none" w:sz="0" w:space="0" w:color="auto"/>
        <w:bottom w:val="none" w:sz="0" w:space="0" w:color="auto"/>
        <w:right w:val="none" w:sz="0" w:space="0" w:color="auto"/>
      </w:divBdr>
    </w:div>
    <w:div w:id="1719551168">
      <w:bodyDiv w:val="1"/>
      <w:marLeft w:val="0"/>
      <w:marRight w:val="0"/>
      <w:marTop w:val="0"/>
      <w:marBottom w:val="0"/>
      <w:divBdr>
        <w:top w:val="none" w:sz="0" w:space="0" w:color="auto"/>
        <w:left w:val="none" w:sz="0" w:space="0" w:color="auto"/>
        <w:bottom w:val="none" w:sz="0" w:space="0" w:color="auto"/>
        <w:right w:val="none" w:sz="0" w:space="0" w:color="auto"/>
      </w:divBdr>
    </w:div>
    <w:div w:id="19189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1690</Characters>
  <Application>Microsoft Office Word</Application>
  <DocSecurity>4</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Félix Schaack</dc:creator>
  <cp:keywords/>
  <dc:description/>
  <cp:lastModifiedBy>Magda SANTOS</cp:lastModifiedBy>
  <cp:revision>2</cp:revision>
  <dcterms:created xsi:type="dcterms:W3CDTF">2025-04-29T11:51:00Z</dcterms:created>
  <dcterms:modified xsi:type="dcterms:W3CDTF">2025-04-29T11:51:00Z</dcterms:modified>
</cp:coreProperties>
</file>