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F61B6" w14:textId="59BED987" w:rsidR="003E463B" w:rsidRPr="003E463B" w:rsidRDefault="003E463B" w:rsidP="003E463B">
      <w:pPr>
        <w:spacing w:after="0" w:line="240" w:lineRule="auto"/>
        <w:contextualSpacing/>
        <w:jc w:val="center"/>
        <w:rPr>
          <w:rFonts w:ascii="Arial" w:eastAsia="Calibri" w:hAnsi="Arial" w:cs="Arial"/>
          <w:b/>
          <w:bCs/>
          <w:kern w:val="0"/>
          <w14:ligatures w14:val="none"/>
        </w:rPr>
      </w:pPr>
      <w:r w:rsidRPr="003E463B">
        <w:rPr>
          <w:rFonts w:ascii="Arial" w:eastAsia="Calibri" w:hAnsi="Arial" w:cs="Arial"/>
          <w:b/>
          <w:bCs/>
          <w:kern w:val="0"/>
          <w14:ligatures w14:val="none"/>
        </w:rPr>
        <w:t xml:space="preserve">Résumé du projet de loi N° </w:t>
      </w:r>
      <w:r w:rsidR="00CD2253">
        <w:rPr>
          <w:rFonts w:ascii="Arial" w:eastAsia="Calibri" w:hAnsi="Arial" w:cs="Arial"/>
          <w:b/>
          <w:bCs/>
          <w:kern w:val="0"/>
          <w14:ligatures w14:val="none"/>
        </w:rPr>
        <w:t>7</w:t>
      </w:r>
      <w:r w:rsidR="00762450">
        <w:rPr>
          <w:rFonts w:ascii="Arial" w:eastAsia="Calibri" w:hAnsi="Arial" w:cs="Arial"/>
          <w:b/>
          <w:bCs/>
          <w:kern w:val="0"/>
          <w14:ligatures w14:val="none"/>
        </w:rPr>
        <w:t>706</w:t>
      </w:r>
    </w:p>
    <w:p w14:paraId="714BA7B4" w14:textId="77777777" w:rsidR="003E463B" w:rsidRPr="003E463B" w:rsidRDefault="003E463B" w:rsidP="003E463B">
      <w:pPr>
        <w:pBdr>
          <w:top w:val="nil"/>
          <w:left w:val="nil"/>
          <w:bottom w:val="nil"/>
          <w:right w:val="nil"/>
          <w:between w:val="nil"/>
          <w:bar w:val="nil"/>
        </w:pBdr>
        <w:spacing w:after="0" w:line="240" w:lineRule="auto"/>
        <w:jc w:val="both"/>
        <w:rPr>
          <w:rFonts w:ascii="Arial" w:eastAsia="Arial" w:hAnsi="Arial" w:cs="Arial"/>
          <w:kern w:val="0"/>
          <w:u w:color="000000"/>
          <w:bdr w:val="nil"/>
          <w:lang w:eastAsia="en-GB"/>
          <w14:ligatures w14:val="none"/>
        </w:rPr>
      </w:pPr>
    </w:p>
    <w:p w14:paraId="511955DD" w14:textId="3DCF0AF9" w:rsidR="00762450" w:rsidRPr="00762450" w:rsidRDefault="003E52F4" w:rsidP="00762450">
      <w:pPr>
        <w:spacing w:after="0" w:line="240" w:lineRule="auto"/>
        <w:jc w:val="both"/>
        <w:rPr>
          <w:rFonts w:ascii="Arial" w:eastAsia="Calibri" w:hAnsi="Arial" w:cs="Arial"/>
          <w:kern w:val="0"/>
          <w:lang w:val="fr-CH"/>
          <w14:ligatures w14:val="none"/>
        </w:rPr>
      </w:pPr>
      <w:r>
        <w:rPr>
          <w:rFonts w:ascii="Arial" w:eastAsia="Calibri" w:hAnsi="Arial" w:cs="Arial"/>
          <w:kern w:val="0"/>
          <w:lang w:val="fr-CH"/>
          <w14:ligatures w14:val="none"/>
        </w:rPr>
        <w:t>C</w:t>
      </w:r>
      <w:r w:rsidR="00762450" w:rsidRPr="00762450">
        <w:rPr>
          <w:rFonts w:ascii="Arial" w:eastAsia="Calibri" w:hAnsi="Arial" w:cs="Arial"/>
          <w:kern w:val="0"/>
          <w:lang w:val="fr-CH"/>
          <w14:ligatures w14:val="none"/>
        </w:rPr>
        <w:t>e projet de loi</w:t>
      </w:r>
      <w:r>
        <w:rPr>
          <w:rFonts w:ascii="Arial" w:eastAsia="Calibri" w:hAnsi="Arial" w:cs="Arial"/>
          <w:kern w:val="0"/>
          <w:lang w:val="fr-CH"/>
          <w14:ligatures w14:val="none"/>
        </w:rPr>
        <w:t xml:space="preserve"> </w:t>
      </w:r>
      <w:r w:rsidR="00762450" w:rsidRPr="00762450">
        <w:rPr>
          <w:rFonts w:ascii="Arial" w:eastAsia="Calibri" w:hAnsi="Arial" w:cs="Arial"/>
          <w:kern w:val="0"/>
          <w:lang w:val="fr-CH"/>
          <w14:ligatures w14:val="none"/>
        </w:rPr>
        <w:t xml:space="preserve">vise à transposer en droit luxembourgeois un certain nombre de dispositions du règlement (CE) n° 725/2004 du Parlement européen et du Conseil du 31 mars 2004 relatif </w:t>
      </w:r>
      <w:proofErr w:type="spellStart"/>
      <w:r w:rsidR="00762450" w:rsidRPr="00762450">
        <w:rPr>
          <w:rFonts w:ascii="Arial" w:eastAsia="Calibri" w:hAnsi="Arial" w:cs="Arial"/>
          <w:kern w:val="0"/>
          <w:lang w:val="fr-CH"/>
          <w14:ligatures w14:val="none"/>
        </w:rPr>
        <w:t>a</w:t>
      </w:r>
      <w:proofErr w:type="spellEnd"/>
      <w:r w:rsidR="00762450" w:rsidRPr="00762450">
        <w:rPr>
          <w:rFonts w:ascii="Arial" w:eastAsia="Calibri" w:hAnsi="Arial" w:cs="Arial"/>
          <w:kern w:val="0"/>
          <w:lang w:val="fr-CH"/>
          <w14:ligatures w14:val="none"/>
        </w:rPr>
        <w:t>̀ l’amélioration de la sûreté des navires et des installations portuaires contre des menaces d’actions illicites.</w:t>
      </w:r>
    </w:p>
    <w:p w14:paraId="53FFF213" w14:textId="77777777" w:rsidR="00762450" w:rsidRPr="00762450" w:rsidRDefault="00762450" w:rsidP="00762450">
      <w:pPr>
        <w:spacing w:after="0" w:line="240" w:lineRule="auto"/>
        <w:jc w:val="both"/>
        <w:rPr>
          <w:rFonts w:ascii="Arial" w:eastAsia="Calibri" w:hAnsi="Arial" w:cs="Arial"/>
          <w:b/>
          <w:bCs/>
          <w:kern w:val="0"/>
          <w:u w:val="single"/>
          <w:lang w:val="fr-CH"/>
          <w14:ligatures w14:val="none"/>
        </w:rPr>
      </w:pPr>
    </w:p>
    <w:p w14:paraId="0D98A979" w14:textId="56AB8E88" w:rsidR="003E52F4" w:rsidRDefault="00762450" w:rsidP="00762450">
      <w:pPr>
        <w:spacing w:after="0" w:line="240" w:lineRule="auto"/>
        <w:jc w:val="both"/>
        <w:rPr>
          <w:rFonts w:ascii="Arial" w:eastAsia="Times New Roman" w:hAnsi="Arial" w:cs="Arial"/>
          <w:kern w:val="0"/>
          <w:lang w:val="fr-CH" w:eastAsia="fr-FR"/>
          <w14:ligatures w14:val="none"/>
        </w:rPr>
      </w:pPr>
      <w:r w:rsidRPr="00762450">
        <w:rPr>
          <w:rFonts w:ascii="Arial" w:eastAsia="Times New Roman" w:hAnsi="Arial" w:cs="Arial"/>
          <w:kern w:val="0"/>
          <w:lang w:val="fr-CH" w:eastAsia="fr-FR"/>
          <w14:ligatures w14:val="none"/>
        </w:rPr>
        <w:t>L’objectif principal du</w:t>
      </w:r>
      <w:r w:rsidR="003E52F4">
        <w:rPr>
          <w:rFonts w:ascii="Arial" w:eastAsia="Times New Roman" w:hAnsi="Arial" w:cs="Arial"/>
          <w:kern w:val="0"/>
          <w:lang w:val="fr-CH" w:eastAsia="fr-FR"/>
          <w14:ligatures w14:val="none"/>
        </w:rPr>
        <w:t>dit</w:t>
      </w:r>
      <w:r w:rsidRPr="00762450">
        <w:rPr>
          <w:rFonts w:ascii="Arial" w:eastAsia="Times New Roman" w:hAnsi="Arial" w:cs="Arial"/>
          <w:kern w:val="0"/>
          <w:lang w:val="fr-CH" w:eastAsia="fr-FR"/>
          <w14:ligatures w14:val="none"/>
        </w:rPr>
        <w:t xml:space="preserve"> règlement est l’instauration de mesures européennes </w:t>
      </w:r>
      <w:r w:rsidR="003E52F4">
        <w:rPr>
          <w:rFonts w:ascii="Arial" w:eastAsia="Times New Roman" w:hAnsi="Arial" w:cs="Arial"/>
          <w:kern w:val="0"/>
          <w:lang w:val="fr-CH" w:eastAsia="fr-FR"/>
          <w14:ligatures w14:val="none"/>
        </w:rPr>
        <w:t xml:space="preserve">visant </w:t>
      </w:r>
      <w:r w:rsidRPr="00762450">
        <w:rPr>
          <w:rFonts w:ascii="Arial" w:eastAsia="Times New Roman" w:hAnsi="Arial" w:cs="Arial"/>
          <w:kern w:val="0"/>
          <w:lang w:val="fr-CH" w:eastAsia="fr-FR"/>
          <w14:ligatures w14:val="none"/>
        </w:rPr>
        <w:t>à améliorer la s</w:t>
      </w:r>
      <w:r w:rsidR="003E52F4">
        <w:rPr>
          <w:rFonts w:ascii="Arial" w:eastAsia="Times New Roman" w:hAnsi="Arial" w:cs="Arial"/>
          <w:kern w:val="0"/>
          <w:lang w:val="fr-CH" w:eastAsia="fr-FR"/>
          <w14:ligatures w14:val="none"/>
        </w:rPr>
        <w:t>û</w:t>
      </w:r>
      <w:r w:rsidRPr="00762450">
        <w:rPr>
          <w:rFonts w:ascii="Arial" w:eastAsia="Times New Roman" w:hAnsi="Arial" w:cs="Arial"/>
          <w:kern w:val="0"/>
          <w:lang w:val="fr-CH" w:eastAsia="fr-FR"/>
          <w14:ligatures w14:val="none"/>
        </w:rPr>
        <w:t>reté des navires et des installations portuaires utilisés dans le trafic et le commerce national. En outre,</w:t>
      </w:r>
      <w:r w:rsidR="003E52F4">
        <w:rPr>
          <w:rFonts w:ascii="Arial" w:eastAsia="Times New Roman" w:hAnsi="Arial" w:cs="Arial"/>
          <w:kern w:val="0"/>
          <w:lang w:val="fr-CH" w:eastAsia="fr-FR"/>
          <w14:ligatures w14:val="none"/>
        </w:rPr>
        <w:t xml:space="preserve"> ce</w:t>
      </w:r>
      <w:r w:rsidRPr="00762450">
        <w:rPr>
          <w:rFonts w:ascii="Arial" w:eastAsia="Times New Roman" w:hAnsi="Arial" w:cs="Arial"/>
          <w:kern w:val="0"/>
          <w:lang w:val="fr-CH" w:eastAsia="fr-FR"/>
          <w14:ligatures w14:val="none"/>
        </w:rPr>
        <w:t xml:space="preserve"> règlement vise la mise en œuvre de la Convention internationale pour la sauvegarde de la vie humaine en mer, faite à Londres le 1</w:t>
      </w:r>
      <w:r w:rsidRPr="00762450">
        <w:rPr>
          <w:rFonts w:ascii="Arial" w:eastAsia="Times New Roman" w:hAnsi="Arial" w:cs="Arial"/>
          <w:kern w:val="0"/>
          <w:vertAlign w:val="superscript"/>
          <w:lang w:val="fr-CH" w:eastAsia="fr-FR"/>
          <w14:ligatures w14:val="none"/>
        </w:rPr>
        <w:t>er</w:t>
      </w:r>
      <w:r w:rsidRPr="00762450">
        <w:rPr>
          <w:rFonts w:ascii="Arial" w:eastAsia="Times New Roman" w:hAnsi="Arial" w:cs="Arial"/>
          <w:kern w:val="0"/>
          <w:lang w:val="fr-CH" w:eastAsia="fr-FR"/>
          <w14:ligatures w14:val="none"/>
        </w:rPr>
        <w:t xml:space="preserve"> novembre 1974</w:t>
      </w:r>
      <w:r w:rsidR="003E52F4">
        <w:rPr>
          <w:rFonts w:ascii="Arial" w:eastAsia="Times New Roman" w:hAnsi="Arial" w:cs="Arial"/>
          <w:kern w:val="0"/>
          <w:lang w:val="fr-CH" w:eastAsia="fr-FR"/>
          <w14:ligatures w14:val="none"/>
        </w:rPr>
        <w:t>.</w:t>
      </w:r>
    </w:p>
    <w:p w14:paraId="77C897B2" w14:textId="77777777" w:rsidR="00762450" w:rsidRPr="00762450" w:rsidRDefault="00762450" w:rsidP="00762450">
      <w:pPr>
        <w:spacing w:after="0" w:line="240" w:lineRule="auto"/>
        <w:jc w:val="both"/>
        <w:rPr>
          <w:rFonts w:ascii="Arial" w:eastAsia="Times New Roman" w:hAnsi="Arial" w:cs="Arial"/>
          <w:kern w:val="0"/>
          <w:lang w:val="fr-CH" w:eastAsia="fr-FR"/>
          <w14:ligatures w14:val="none"/>
        </w:rPr>
      </w:pPr>
    </w:p>
    <w:p w14:paraId="3A209E15" w14:textId="371025B4" w:rsidR="00762450" w:rsidRPr="00762450" w:rsidRDefault="00762450" w:rsidP="00762450">
      <w:pPr>
        <w:spacing w:after="0" w:line="240" w:lineRule="auto"/>
        <w:jc w:val="both"/>
        <w:rPr>
          <w:rFonts w:ascii="Arial" w:eastAsia="Times New Roman" w:hAnsi="Arial" w:cs="Arial"/>
          <w:kern w:val="0"/>
          <w:szCs w:val="21"/>
          <w:lang w:val="fr-CH" w:eastAsia="fr-FR"/>
          <w14:ligatures w14:val="none"/>
        </w:rPr>
      </w:pPr>
      <w:r w:rsidRPr="00762450">
        <w:rPr>
          <w:rFonts w:ascii="Arial" w:eastAsia="Times New Roman" w:hAnsi="Arial" w:cs="Arial"/>
          <w:kern w:val="0"/>
          <w:szCs w:val="21"/>
          <w:lang w:val="fr-CH" w:eastAsia="fr-FR"/>
          <w14:ligatures w14:val="none"/>
        </w:rPr>
        <w:t xml:space="preserve">Le projet de loi </w:t>
      </w:r>
      <w:r w:rsidR="003E52F4">
        <w:rPr>
          <w:rFonts w:ascii="Arial" w:eastAsia="Times New Roman" w:hAnsi="Arial" w:cs="Arial"/>
          <w:kern w:val="0"/>
          <w:szCs w:val="21"/>
          <w:lang w:val="fr-CH" w:eastAsia="fr-FR"/>
          <w14:ligatures w14:val="none"/>
        </w:rPr>
        <w:t>désigne</w:t>
      </w:r>
      <w:r w:rsidRPr="00762450">
        <w:rPr>
          <w:rFonts w:ascii="Arial" w:eastAsia="Times New Roman" w:hAnsi="Arial" w:cs="Arial"/>
          <w:kern w:val="0"/>
          <w:szCs w:val="21"/>
          <w:lang w:val="fr-CH" w:eastAsia="fr-FR"/>
          <w14:ligatures w14:val="none"/>
        </w:rPr>
        <w:t xml:space="preserve"> le commissaire du Gouvernement aux affaires maritimes en tant qu’autorité de sûreté maritime compétente, responsable de la mise en place, de la coordination et de la surveillance du respect des dispositions imposées concernant la sûreté des navires et des installations portuaires.</w:t>
      </w:r>
    </w:p>
    <w:p w14:paraId="105D5ECD" w14:textId="77777777" w:rsidR="00762450" w:rsidRPr="00762450" w:rsidRDefault="00762450" w:rsidP="00762450">
      <w:pPr>
        <w:spacing w:after="0" w:line="240" w:lineRule="auto"/>
        <w:jc w:val="both"/>
        <w:rPr>
          <w:rFonts w:ascii="Arial" w:eastAsia="Times New Roman" w:hAnsi="Arial" w:cs="Arial"/>
          <w:color w:val="000000"/>
          <w:kern w:val="0"/>
          <w:szCs w:val="21"/>
          <w:lang w:val="fr-CH" w:eastAsia="fr-FR"/>
          <w14:ligatures w14:val="none"/>
        </w:rPr>
      </w:pPr>
    </w:p>
    <w:p w14:paraId="690AA9C6" w14:textId="105A969D" w:rsidR="00762450" w:rsidRPr="00762450" w:rsidRDefault="003E52F4" w:rsidP="00762450">
      <w:pPr>
        <w:spacing w:after="0" w:line="240" w:lineRule="auto"/>
        <w:jc w:val="both"/>
        <w:rPr>
          <w:rFonts w:ascii="Arial" w:eastAsia="Times New Roman" w:hAnsi="Arial" w:cs="Arial"/>
          <w:color w:val="000000"/>
          <w:kern w:val="0"/>
          <w:szCs w:val="21"/>
          <w:lang w:val="fr-CH" w:eastAsia="fr-FR"/>
          <w14:ligatures w14:val="none"/>
        </w:rPr>
      </w:pPr>
      <w:r>
        <w:rPr>
          <w:rFonts w:ascii="Arial" w:eastAsia="Times New Roman" w:hAnsi="Arial" w:cs="Arial"/>
          <w:color w:val="000000"/>
          <w:kern w:val="0"/>
          <w:szCs w:val="21"/>
          <w:lang w:val="fr-CH" w:eastAsia="fr-FR"/>
          <w14:ligatures w14:val="none"/>
        </w:rPr>
        <w:t>L</w:t>
      </w:r>
      <w:r w:rsidR="00762450" w:rsidRPr="00762450">
        <w:rPr>
          <w:rFonts w:ascii="Arial" w:eastAsia="Times New Roman" w:hAnsi="Arial" w:cs="Arial"/>
          <w:color w:val="000000"/>
          <w:kern w:val="0"/>
          <w:szCs w:val="21"/>
          <w:lang w:val="fr-CH" w:eastAsia="fr-FR"/>
          <w14:ligatures w14:val="none"/>
        </w:rPr>
        <w:t xml:space="preserve">e </w:t>
      </w:r>
      <w:r>
        <w:rPr>
          <w:rFonts w:ascii="Arial" w:eastAsia="Times New Roman" w:hAnsi="Arial" w:cs="Arial"/>
          <w:color w:val="000000"/>
          <w:kern w:val="0"/>
          <w:szCs w:val="21"/>
          <w:lang w:val="fr-CH" w:eastAsia="fr-FR"/>
          <w14:ligatures w14:val="none"/>
        </w:rPr>
        <w:t xml:space="preserve">dispositif </w:t>
      </w:r>
      <w:r w:rsidR="00762450" w:rsidRPr="00762450">
        <w:rPr>
          <w:rFonts w:ascii="Arial" w:eastAsia="Times New Roman" w:hAnsi="Arial" w:cs="Arial"/>
          <w:color w:val="000000"/>
          <w:kern w:val="0"/>
          <w:szCs w:val="21"/>
          <w:lang w:val="fr-CH" w:eastAsia="fr-FR"/>
          <w14:ligatures w14:val="none"/>
        </w:rPr>
        <w:t xml:space="preserve">détermine également les règles et conditions nécessaires à la délégation à un ou plusieurs organismes habilités à effectuer les missions d’approbation des plans de sûreté ou de leurs amendements, du contrôle des mesures de sûreté ou encore du renouvellement du certificat international de </w:t>
      </w:r>
      <w:r w:rsidRPr="00762450">
        <w:rPr>
          <w:rFonts w:ascii="Arial" w:eastAsia="Times New Roman" w:hAnsi="Arial" w:cs="Arial"/>
          <w:color w:val="000000"/>
          <w:kern w:val="0"/>
          <w:szCs w:val="21"/>
          <w:lang w:val="fr-CH" w:eastAsia="fr-FR"/>
          <w14:ligatures w14:val="none"/>
        </w:rPr>
        <w:t>sûreté</w:t>
      </w:r>
      <w:r w:rsidR="00762450" w:rsidRPr="00762450">
        <w:rPr>
          <w:rFonts w:ascii="Arial" w:eastAsia="Times New Roman" w:hAnsi="Arial" w:cs="Arial"/>
          <w:color w:val="000000"/>
          <w:kern w:val="0"/>
          <w:szCs w:val="21"/>
          <w:lang w:val="fr-CH" w:eastAsia="fr-FR"/>
          <w14:ligatures w14:val="none"/>
        </w:rPr>
        <w:t>.</w:t>
      </w:r>
    </w:p>
    <w:p w14:paraId="591FFFD3" w14:textId="77777777" w:rsidR="00762450" w:rsidRPr="00762450" w:rsidRDefault="00762450" w:rsidP="00762450">
      <w:pPr>
        <w:spacing w:after="0" w:line="240" w:lineRule="auto"/>
        <w:jc w:val="both"/>
        <w:rPr>
          <w:rFonts w:ascii="Arial" w:eastAsia="Times New Roman" w:hAnsi="Arial" w:cs="Arial"/>
          <w:color w:val="000000"/>
          <w:kern w:val="0"/>
          <w:szCs w:val="21"/>
          <w:lang w:val="fr-CH" w:eastAsia="fr-FR"/>
          <w14:ligatures w14:val="none"/>
        </w:rPr>
      </w:pPr>
    </w:p>
    <w:p w14:paraId="3BA614E6" w14:textId="6C4BE231" w:rsidR="00762450" w:rsidRPr="00762450" w:rsidRDefault="00762450" w:rsidP="00762450">
      <w:pPr>
        <w:spacing w:after="0" w:line="240" w:lineRule="auto"/>
        <w:jc w:val="both"/>
        <w:rPr>
          <w:rFonts w:ascii="Arial" w:eastAsia="Times New Roman" w:hAnsi="Arial" w:cs="Arial"/>
          <w:color w:val="000000"/>
          <w:kern w:val="0"/>
          <w:szCs w:val="21"/>
          <w:lang w:val="fr-CH" w:eastAsia="fr-FR"/>
          <w14:ligatures w14:val="none"/>
        </w:rPr>
      </w:pPr>
      <w:r w:rsidRPr="00762450">
        <w:rPr>
          <w:rFonts w:ascii="Arial" w:eastAsia="Times New Roman" w:hAnsi="Arial" w:cs="Arial"/>
          <w:color w:val="000000"/>
          <w:kern w:val="0"/>
          <w:szCs w:val="21"/>
          <w:lang w:val="fr-CH" w:eastAsia="fr-FR"/>
          <w14:ligatures w14:val="none"/>
        </w:rPr>
        <w:t xml:space="preserve">En outre, le projet de loi met à jour les sanctions pénales et administratives en cas d’infraction afin qu’elles soient cohérentes avec la revendication du règlement </w:t>
      </w:r>
      <w:r w:rsidR="00A71797">
        <w:rPr>
          <w:rFonts w:ascii="Arial" w:eastAsia="Times New Roman" w:hAnsi="Arial" w:cs="Arial"/>
          <w:color w:val="000000"/>
          <w:kern w:val="0"/>
          <w:szCs w:val="21"/>
          <w:lang w:val="fr-CH" w:eastAsia="fr-FR"/>
          <w14:ligatures w14:val="none"/>
        </w:rPr>
        <w:t>exigeant des</w:t>
      </w:r>
      <w:r w:rsidRPr="00762450">
        <w:rPr>
          <w:rFonts w:ascii="Arial" w:eastAsia="Times New Roman" w:hAnsi="Arial" w:cs="Arial"/>
          <w:color w:val="000000"/>
          <w:kern w:val="0"/>
          <w:szCs w:val="21"/>
          <w:lang w:val="fr-CH" w:eastAsia="fr-FR"/>
          <w14:ligatures w14:val="none"/>
        </w:rPr>
        <w:t xml:space="preserve"> Etats membres la mise en place de « sanctions efficaces, proportionnées et dissuasives ».</w:t>
      </w:r>
    </w:p>
    <w:p w14:paraId="350B788E" w14:textId="77777777" w:rsidR="00FC6C17" w:rsidRPr="00762450" w:rsidRDefault="00FC6C17" w:rsidP="00AE4FBC">
      <w:pPr>
        <w:spacing w:after="0" w:line="240" w:lineRule="auto"/>
        <w:jc w:val="both"/>
        <w:rPr>
          <w:rFonts w:ascii="Arial" w:eastAsia="Calibri" w:hAnsi="Arial" w:cs="Arial"/>
          <w:kern w:val="0"/>
          <w:lang w:val="fr-CH"/>
          <w14:ligatures w14:val="none"/>
        </w:rPr>
      </w:pPr>
    </w:p>
    <w:p w14:paraId="38E1878E" w14:textId="0A1598DA" w:rsidR="00C1553C" w:rsidRDefault="00587321" w:rsidP="00587321">
      <w:pPr>
        <w:jc w:val="center"/>
      </w:pPr>
      <w:r>
        <w:t>*</w:t>
      </w:r>
    </w:p>
    <w:sectPr w:rsidR="00C155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16EFB" w14:textId="77777777" w:rsidR="00B224BF" w:rsidRDefault="00B224BF" w:rsidP="00B224BF">
      <w:pPr>
        <w:spacing w:after="0" w:line="240" w:lineRule="auto"/>
      </w:pPr>
      <w:r>
        <w:separator/>
      </w:r>
    </w:p>
  </w:endnote>
  <w:endnote w:type="continuationSeparator" w:id="0">
    <w:p w14:paraId="48D5FEFC" w14:textId="77777777" w:rsidR="00B224BF" w:rsidRDefault="00B224BF" w:rsidP="00B22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73B00" w14:textId="77777777" w:rsidR="00B224BF" w:rsidRDefault="00B224BF" w:rsidP="00B224BF">
      <w:pPr>
        <w:spacing w:after="0" w:line="240" w:lineRule="auto"/>
      </w:pPr>
      <w:r>
        <w:separator/>
      </w:r>
    </w:p>
  </w:footnote>
  <w:footnote w:type="continuationSeparator" w:id="0">
    <w:p w14:paraId="6DD540EA" w14:textId="77777777" w:rsidR="00B224BF" w:rsidRDefault="00B224BF" w:rsidP="00B22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02DD7"/>
    <w:multiLevelType w:val="hybridMultilevel"/>
    <w:tmpl w:val="B0BE153A"/>
    <w:lvl w:ilvl="0" w:tplc="64E287BC">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2B6EB8"/>
    <w:multiLevelType w:val="hybridMultilevel"/>
    <w:tmpl w:val="A1FA943C"/>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256787"/>
    <w:multiLevelType w:val="hybridMultilevel"/>
    <w:tmpl w:val="8960C4E8"/>
    <w:lvl w:ilvl="0" w:tplc="64E287B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37CED"/>
    <w:multiLevelType w:val="hybridMultilevel"/>
    <w:tmpl w:val="CFA0BCB6"/>
    <w:lvl w:ilvl="0" w:tplc="64E287B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B67480"/>
    <w:multiLevelType w:val="hybridMultilevel"/>
    <w:tmpl w:val="603EC5FE"/>
    <w:lvl w:ilvl="0" w:tplc="64E287BC">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6B62B1D"/>
    <w:multiLevelType w:val="hybridMultilevel"/>
    <w:tmpl w:val="1CA07F48"/>
    <w:lvl w:ilvl="0" w:tplc="64E287BC">
      <w:start w:val="1"/>
      <w:numFmt w:val="bullet"/>
      <w:lvlText w:val="-"/>
      <w:lvlJc w:val="left"/>
      <w:pPr>
        <w:ind w:left="720" w:hanging="360"/>
      </w:pPr>
      <w:rPr>
        <w:rFonts w:ascii="Times New Roman" w:eastAsiaTheme="minorHAnsi" w:hAnsi="Times New Roman" w:cs="Times New Roman"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D4F49A2"/>
    <w:multiLevelType w:val="hybridMultilevel"/>
    <w:tmpl w:val="D16CAD98"/>
    <w:lvl w:ilvl="0" w:tplc="0008AAB0">
      <w:start w:val="1"/>
      <w:numFmt w:val="bullet"/>
      <w:lvlText w:val="-"/>
      <w:lvlJc w:val="left"/>
      <w:pPr>
        <w:ind w:left="720" w:hanging="360"/>
      </w:pPr>
      <w:rPr>
        <w:rFonts w:ascii="Times New Roman" w:eastAsiaTheme="minorHAnsi" w:hAnsi="Times New Roman" w:cs="Times New Roman"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735719FE"/>
    <w:multiLevelType w:val="hybridMultilevel"/>
    <w:tmpl w:val="B06835F4"/>
    <w:lvl w:ilvl="0" w:tplc="05829506">
      <w:start w:val="3"/>
      <w:numFmt w:val="bullet"/>
      <w:lvlText w:val="-"/>
      <w:lvlJc w:val="left"/>
      <w:pPr>
        <w:ind w:left="720" w:hanging="360"/>
      </w:pPr>
      <w:rPr>
        <w:rFonts w:ascii="Times New Roman" w:eastAsiaTheme="minorHAnsi" w:hAnsi="Times New Roman" w:cs="Times New Roman"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7C535A1A"/>
    <w:multiLevelType w:val="hybridMultilevel"/>
    <w:tmpl w:val="76446A02"/>
    <w:lvl w:ilvl="0" w:tplc="64E287BC">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00202740">
    <w:abstractNumId w:val="6"/>
  </w:num>
  <w:num w:numId="2" w16cid:durableId="447239086">
    <w:abstractNumId w:val="7"/>
  </w:num>
  <w:num w:numId="3" w16cid:durableId="1800339994">
    <w:abstractNumId w:val="8"/>
  </w:num>
  <w:num w:numId="4" w16cid:durableId="1266815452">
    <w:abstractNumId w:val="1"/>
  </w:num>
  <w:num w:numId="5" w16cid:durableId="2107651696">
    <w:abstractNumId w:val="3"/>
  </w:num>
  <w:num w:numId="6" w16cid:durableId="518852582">
    <w:abstractNumId w:val="2"/>
  </w:num>
  <w:num w:numId="7" w16cid:durableId="909582635">
    <w:abstractNumId w:val="4"/>
  </w:num>
  <w:num w:numId="8" w16cid:durableId="1309283951">
    <w:abstractNumId w:val="0"/>
  </w:num>
  <w:num w:numId="9" w16cid:durableId="10903457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3B"/>
    <w:rsid w:val="00026CA9"/>
    <w:rsid w:val="000C3581"/>
    <w:rsid w:val="001152EA"/>
    <w:rsid w:val="00165EBE"/>
    <w:rsid w:val="001B459C"/>
    <w:rsid w:val="00295109"/>
    <w:rsid w:val="003B3224"/>
    <w:rsid w:val="003C08B9"/>
    <w:rsid w:val="003E463B"/>
    <w:rsid w:val="003E52F4"/>
    <w:rsid w:val="00543992"/>
    <w:rsid w:val="00587321"/>
    <w:rsid w:val="00672B38"/>
    <w:rsid w:val="006A14A1"/>
    <w:rsid w:val="00762450"/>
    <w:rsid w:val="00841146"/>
    <w:rsid w:val="00945DF3"/>
    <w:rsid w:val="009B2F0B"/>
    <w:rsid w:val="00A41177"/>
    <w:rsid w:val="00A51DC7"/>
    <w:rsid w:val="00A71797"/>
    <w:rsid w:val="00AE4FBC"/>
    <w:rsid w:val="00B224BF"/>
    <w:rsid w:val="00B2786D"/>
    <w:rsid w:val="00B643C9"/>
    <w:rsid w:val="00C14C24"/>
    <w:rsid w:val="00C1553C"/>
    <w:rsid w:val="00C55409"/>
    <w:rsid w:val="00C81A5C"/>
    <w:rsid w:val="00CC5980"/>
    <w:rsid w:val="00CD2253"/>
    <w:rsid w:val="00D31B11"/>
    <w:rsid w:val="00E75F79"/>
    <w:rsid w:val="00F10680"/>
    <w:rsid w:val="00F31A03"/>
    <w:rsid w:val="00F5533A"/>
    <w:rsid w:val="00FB5E96"/>
    <w:rsid w:val="00FC6C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7698"/>
  <w15:chartTrackingRefBased/>
  <w15:docId w15:val="{60B098A2-16D9-4651-B46C-3F89983B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E46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E46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E463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E463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E463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E463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E463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E463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E463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463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E463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E463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E463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E463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E463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E463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E463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E463B"/>
    <w:rPr>
      <w:rFonts w:eastAsiaTheme="majorEastAsia" w:cstheme="majorBidi"/>
      <w:color w:val="272727" w:themeColor="text1" w:themeTint="D8"/>
    </w:rPr>
  </w:style>
  <w:style w:type="paragraph" w:styleId="Titre">
    <w:name w:val="Title"/>
    <w:basedOn w:val="Normal"/>
    <w:next w:val="Normal"/>
    <w:link w:val="TitreCar"/>
    <w:uiPriority w:val="10"/>
    <w:qFormat/>
    <w:rsid w:val="003E46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E463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E463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E463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E463B"/>
    <w:pPr>
      <w:spacing w:before="160"/>
      <w:jc w:val="center"/>
    </w:pPr>
    <w:rPr>
      <w:i/>
      <w:iCs/>
      <w:color w:val="404040" w:themeColor="text1" w:themeTint="BF"/>
    </w:rPr>
  </w:style>
  <w:style w:type="character" w:customStyle="1" w:styleId="CitationCar">
    <w:name w:val="Citation Car"/>
    <w:basedOn w:val="Policepardfaut"/>
    <w:link w:val="Citation"/>
    <w:uiPriority w:val="29"/>
    <w:rsid w:val="003E463B"/>
    <w:rPr>
      <w:i/>
      <w:iCs/>
      <w:color w:val="404040" w:themeColor="text1" w:themeTint="BF"/>
    </w:rPr>
  </w:style>
  <w:style w:type="paragraph" w:styleId="Paragraphedeliste">
    <w:name w:val="List Paragraph"/>
    <w:basedOn w:val="Normal"/>
    <w:uiPriority w:val="34"/>
    <w:qFormat/>
    <w:rsid w:val="003E463B"/>
    <w:pPr>
      <w:ind w:left="720"/>
      <w:contextualSpacing/>
    </w:pPr>
  </w:style>
  <w:style w:type="character" w:styleId="Accentuationintense">
    <w:name w:val="Intense Emphasis"/>
    <w:basedOn w:val="Policepardfaut"/>
    <w:uiPriority w:val="21"/>
    <w:qFormat/>
    <w:rsid w:val="003E463B"/>
    <w:rPr>
      <w:i/>
      <w:iCs/>
      <w:color w:val="0F4761" w:themeColor="accent1" w:themeShade="BF"/>
    </w:rPr>
  </w:style>
  <w:style w:type="paragraph" w:styleId="Citationintense">
    <w:name w:val="Intense Quote"/>
    <w:basedOn w:val="Normal"/>
    <w:next w:val="Normal"/>
    <w:link w:val="CitationintenseCar"/>
    <w:uiPriority w:val="30"/>
    <w:qFormat/>
    <w:rsid w:val="003E46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E463B"/>
    <w:rPr>
      <w:i/>
      <w:iCs/>
      <w:color w:val="0F4761" w:themeColor="accent1" w:themeShade="BF"/>
    </w:rPr>
  </w:style>
  <w:style w:type="character" w:styleId="Rfrenceintense">
    <w:name w:val="Intense Reference"/>
    <w:basedOn w:val="Policepardfaut"/>
    <w:uiPriority w:val="32"/>
    <w:qFormat/>
    <w:rsid w:val="003E463B"/>
    <w:rPr>
      <w:b/>
      <w:bCs/>
      <w:smallCaps/>
      <w:color w:val="0F4761" w:themeColor="accent1" w:themeShade="BF"/>
      <w:spacing w:val="5"/>
    </w:rPr>
  </w:style>
  <w:style w:type="paragraph" w:styleId="Rvision">
    <w:name w:val="Revision"/>
    <w:hidden/>
    <w:uiPriority w:val="99"/>
    <w:semiHidden/>
    <w:rsid w:val="006A14A1"/>
    <w:pPr>
      <w:spacing w:after="0" w:line="240" w:lineRule="auto"/>
    </w:pPr>
  </w:style>
  <w:style w:type="paragraph" w:styleId="Notedebasdepage">
    <w:name w:val="footnote text"/>
    <w:basedOn w:val="Normal"/>
    <w:link w:val="NotedebasdepageCar"/>
    <w:unhideWhenUsed/>
    <w:rsid w:val="00B224BF"/>
    <w:pPr>
      <w:spacing w:after="0" w:line="240" w:lineRule="auto"/>
      <w:jc w:val="both"/>
    </w:pPr>
    <w:rPr>
      <w:rFonts w:ascii="Tahoma" w:eastAsia="Calibri" w:hAnsi="Tahoma" w:cs="Times New Roman"/>
      <w:kern w:val="0"/>
      <w:sz w:val="20"/>
      <w:szCs w:val="20"/>
      <w:lang w:val="fr-LU"/>
      <w14:ligatures w14:val="none"/>
    </w:rPr>
  </w:style>
  <w:style w:type="character" w:customStyle="1" w:styleId="NotedebasdepageCar">
    <w:name w:val="Note de bas de page Car"/>
    <w:basedOn w:val="Policepardfaut"/>
    <w:link w:val="Notedebasdepage"/>
    <w:rsid w:val="00B224BF"/>
    <w:rPr>
      <w:rFonts w:ascii="Tahoma" w:eastAsia="Calibri" w:hAnsi="Tahoma" w:cs="Times New Roman"/>
      <w:kern w:val="0"/>
      <w:sz w:val="20"/>
      <w:szCs w:val="20"/>
      <w:lang w:val="fr-LU"/>
      <w14:ligatures w14:val="none"/>
    </w:rPr>
  </w:style>
  <w:style w:type="character" w:styleId="Appelnotedebasdep">
    <w:name w:val="footnote reference"/>
    <w:aliases w:val="Footnote symbol,Footnote reference number,Times 10 Point,Exposant 3 Point,EN Footnote Reference,note TESI,SUPERS,Nota,Footnote number,Char1,Ref,de nota al pie,EN Footnote text,Footnote Reference_LVL6,E..."/>
    <w:uiPriority w:val="99"/>
    <w:unhideWhenUsed/>
    <w:rsid w:val="00B224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1342</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Timon OESCH</dc:creator>
  <cp:keywords/>
  <dc:description/>
  <cp:lastModifiedBy>Magda SANTOS</cp:lastModifiedBy>
  <cp:revision>2</cp:revision>
  <dcterms:created xsi:type="dcterms:W3CDTF">2024-12-06T09:28:00Z</dcterms:created>
  <dcterms:modified xsi:type="dcterms:W3CDTF">2024-12-06T09:28:00Z</dcterms:modified>
</cp:coreProperties>
</file>