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BC" w:rsidRDefault="00592DBC" w:rsidP="00592D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4619">
        <w:rPr>
          <w:b/>
          <w:sz w:val="28"/>
          <w:szCs w:val="28"/>
        </w:rPr>
        <w:t xml:space="preserve">N° </w:t>
      </w:r>
      <w:r w:rsidR="0071369F">
        <w:rPr>
          <w:b/>
          <w:sz w:val="28"/>
          <w:szCs w:val="28"/>
        </w:rPr>
        <w:t>5660A</w:t>
      </w:r>
    </w:p>
    <w:p w:rsidR="00255463" w:rsidRDefault="00255463" w:rsidP="006C0DA4">
      <w:pPr>
        <w:jc w:val="center"/>
        <w:rPr>
          <w:b/>
          <w:sz w:val="28"/>
          <w:szCs w:val="28"/>
        </w:rPr>
      </w:pPr>
    </w:p>
    <w:p w:rsidR="00AD27FC" w:rsidRPr="00F94EC9" w:rsidRDefault="00AD27FC" w:rsidP="00AD27FC">
      <w:pPr>
        <w:jc w:val="center"/>
        <w:rPr>
          <w:rFonts w:ascii="Arial" w:hAnsi="Arial" w:cs="Arial"/>
          <w:b/>
          <w:snapToGrid w:val="0"/>
          <w:sz w:val="22"/>
          <w:szCs w:val="22"/>
          <w:lang w:val="fr-LU" w:eastAsia="en-US"/>
        </w:rPr>
      </w:pPr>
      <w:r w:rsidRPr="00F94EC9">
        <w:rPr>
          <w:rFonts w:ascii="Arial" w:hAnsi="Arial" w:cs="Arial"/>
          <w:b/>
          <w:snapToGrid w:val="0"/>
          <w:sz w:val="22"/>
          <w:szCs w:val="22"/>
          <w:lang w:val="fr-LU" w:eastAsia="en-US"/>
        </w:rPr>
        <w:t xml:space="preserve">Projet de loi </w:t>
      </w:r>
    </w:p>
    <w:p w:rsidR="00AD27FC" w:rsidRPr="00F94EC9" w:rsidRDefault="00AD27FC" w:rsidP="00AD27FC">
      <w:pPr>
        <w:jc w:val="center"/>
        <w:rPr>
          <w:rFonts w:ascii="Arial" w:hAnsi="Arial" w:cs="Arial"/>
          <w:b/>
          <w:snapToGrid w:val="0"/>
          <w:sz w:val="22"/>
          <w:szCs w:val="22"/>
          <w:lang w:val="fr-LU" w:eastAsia="en-US"/>
        </w:rPr>
      </w:pPr>
      <w:r w:rsidRPr="00F94EC9">
        <w:rPr>
          <w:rFonts w:ascii="Arial" w:hAnsi="Arial" w:cs="Arial"/>
          <w:b/>
          <w:snapToGrid w:val="0"/>
          <w:sz w:val="22"/>
          <w:szCs w:val="22"/>
          <w:lang w:val="fr-LU" w:eastAsia="en-US"/>
        </w:rPr>
        <w:t>portant modification</w:t>
      </w:r>
    </w:p>
    <w:p w:rsidR="00AD27FC" w:rsidRPr="00F94EC9" w:rsidRDefault="00AD27FC" w:rsidP="00AD27FC">
      <w:pPr>
        <w:jc w:val="center"/>
        <w:rPr>
          <w:rFonts w:ascii="Arial" w:hAnsi="Arial" w:cs="Arial"/>
          <w:b/>
          <w:snapToGrid w:val="0"/>
          <w:sz w:val="22"/>
          <w:szCs w:val="22"/>
          <w:lang w:val="fr-LU" w:eastAsia="en-US"/>
        </w:rPr>
      </w:pPr>
    </w:p>
    <w:p w:rsidR="00AD27FC" w:rsidRPr="00F94EC9" w:rsidRDefault="00AD27FC" w:rsidP="00AD27FC">
      <w:pPr>
        <w:numPr>
          <w:ilvl w:val="0"/>
          <w:numId w:val="1"/>
        </w:numPr>
        <w:jc w:val="both"/>
        <w:rPr>
          <w:rFonts w:ascii="Arial" w:hAnsi="Arial" w:cs="Arial"/>
          <w:b/>
          <w:snapToGrid w:val="0"/>
          <w:sz w:val="22"/>
          <w:szCs w:val="22"/>
          <w:lang w:val="fr-LU" w:eastAsia="en-US"/>
        </w:rPr>
      </w:pPr>
      <w:r w:rsidRPr="00F94EC9">
        <w:rPr>
          <w:rFonts w:ascii="Arial" w:hAnsi="Arial" w:cs="Arial"/>
          <w:b/>
          <w:snapToGrid w:val="0"/>
          <w:sz w:val="22"/>
          <w:szCs w:val="22"/>
          <w:lang w:val="fr-LU" w:eastAsia="en-US"/>
        </w:rPr>
        <w:t xml:space="preserve">de la loi du 13 novembre 2002 portant transposition en droit luxembourgeois de la Directive 98/5/CE du Parlement européen et du Conseil du 16 février 1998 visant à faciliter l’exercice permanent de la profession d’avocat dans un Etat membre autre que celui où la qualification a été acquise et portant : </w:t>
      </w:r>
    </w:p>
    <w:p w:rsidR="00AD27FC" w:rsidRPr="00F94EC9" w:rsidRDefault="00AD27FC" w:rsidP="00AD27FC">
      <w:pPr>
        <w:ind w:left="720"/>
        <w:jc w:val="both"/>
        <w:rPr>
          <w:rFonts w:ascii="Arial" w:hAnsi="Arial" w:cs="Arial"/>
          <w:b/>
          <w:snapToGrid w:val="0"/>
          <w:sz w:val="22"/>
          <w:szCs w:val="22"/>
          <w:lang w:val="fr-LU" w:eastAsia="en-US"/>
        </w:rPr>
      </w:pPr>
      <w:r w:rsidRPr="00F94EC9">
        <w:rPr>
          <w:rFonts w:ascii="Arial" w:hAnsi="Arial" w:cs="Arial"/>
          <w:b/>
          <w:snapToGrid w:val="0"/>
          <w:sz w:val="22"/>
          <w:szCs w:val="22"/>
          <w:lang w:val="fr-LU" w:eastAsia="en-US"/>
        </w:rPr>
        <w:t xml:space="preserve">1. modification de la loi modifiée du 10 août 1991 sur la profession d’avocat ; </w:t>
      </w:r>
    </w:p>
    <w:p w:rsidR="00AD27FC" w:rsidRPr="00F94EC9" w:rsidRDefault="00AD27FC" w:rsidP="00AD27FC">
      <w:pPr>
        <w:ind w:left="360"/>
        <w:jc w:val="both"/>
        <w:rPr>
          <w:rFonts w:ascii="Arial" w:hAnsi="Arial" w:cs="Arial"/>
          <w:b/>
          <w:snapToGrid w:val="0"/>
          <w:sz w:val="22"/>
          <w:szCs w:val="22"/>
          <w:lang w:val="fr-LU" w:eastAsia="en-US"/>
        </w:rPr>
      </w:pPr>
      <w:r w:rsidRPr="00F94EC9">
        <w:rPr>
          <w:rFonts w:ascii="Arial" w:hAnsi="Arial" w:cs="Arial"/>
          <w:b/>
          <w:snapToGrid w:val="0"/>
          <w:sz w:val="22"/>
          <w:szCs w:val="22"/>
          <w:lang w:val="fr-LU" w:eastAsia="en-US"/>
        </w:rPr>
        <w:tab/>
        <w:t xml:space="preserve">2. modification de la loi du 31 mai 1999 régissant la domiciliation des </w:t>
      </w:r>
      <w:r w:rsidRPr="00F94EC9">
        <w:rPr>
          <w:rFonts w:ascii="Arial" w:hAnsi="Arial" w:cs="Arial"/>
          <w:b/>
          <w:snapToGrid w:val="0"/>
          <w:sz w:val="22"/>
          <w:szCs w:val="22"/>
          <w:lang w:val="fr-LU" w:eastAsia="en-US"/>
        </w:rPr>
        <w:tab/>
        <w:t>sociétés ;</w:t>
      </w:r>
    </w:p>
    <w:p w:rsidR="00AD27FC" w:rsidRPr="00F94EC9" w:rsidRDefault="00AD27FC" w:rsidP="00AD27FC">
      <w:pPr>
        <w:numPr>
          <w:ilvl w:val="0"/>
          <w:numId w:val="1"/>
        </w:numPr>
        <w:jc w:val="both"/>
        <w:rPr>
          <w:rFonts w:ascii="Arial" w:hAnsi="Arial" w:cs="Arial"/>
          <w:b/>
          <w:snapToGrid w:val="0"/>
          <w:sz w:val="22"/>
          <w:szCs w:val="22"/>
          <w:lang w:val="fr-LU" w:eastAsia="en-US"/>
        </w:rPr>
      </w:pPr>
      <w:r w:rsidRPr="00F94EC9">
        <w:rPr>
          <w:rFonts w:ascii="Arial" w:hAnsi="Arial" w:cs="Arial"/>
          <w:b/>
          <w:snapToGrid w:val="0"/>
          <w:sz w:val="22"/>
          <w:szCs w:val="22"/>
          <w:lang w:val="fr-LU" w:eastAsia="en-US"/>
        </w:rPr>
        <w:t>de la loi modifiée du 29 avril 19</w:t>
      </w:r>
      <w:r>
        <w:rPr>
          <w:rFonts w:ascii="Arial" w:hAnsi="Arial" w:cs="Arial"/>
          <w:b/>
          <w:snapToGrid w:val="0"/>
          <w:sz w:val="22"/>
          <w:szCs w:val="22"/>
          <w:lang w:val="fr-LU" w:eastAsia="en-US"/>
        </w:rPr>
        <w:t>80</w:t>
      </w:r>
      <w:r w:rsidRPr="00F94EC9">
        <w:rPr>
          <w:rFonts w:ascii="Arial" w:hAnsi="Arial" w:cs="Arial"/>
          <w:b/>
          <w:snapToGrid w:val="0"/>
          <w:sz w:val="22"/>
          <w:szCs w:val="22"/>
          <w:lang w:val="fr-LU" w:eastAsia="en-US"/>
        </w:rPr>
        <w:t xml:space="preserve"> réglant l’activité en prestations de service au </w:t>
      </w:r>
      <w:proofErr w:type="spellStart"/>
      <w:r w:rsidRPr="00F94EC9">
        <w:rPr>
          <w:rFonts w:ascii="Arial" w:hAnsi="Arial" w:cs="Arial"/>
          <w:b/>
          <w:snapToGrid w:val="0"/>
          <w:sz w:val="22"/>
          <w:szCs w:val="22"/>
          <w:lang w:val="fr-LU" w:eastAsia="en-US"/>
        </w:rPr>
        <w:t>Grand-Duché</w:t>
      </w:r>
      <w:proofErr w:type="spellEnd"/>
      <w:r w:rsidRPr="00F94EC9">
        <w:rPr>
          <w:rFonts w:ascii="Arial" w:hAnsi="Arial" w:cs="Arial"/>
          <w:b/>
          <w:snapToGrid w:val="0"/>
          <w:sz w:val="22"/>
          <w:szCs w:val="22"/>
          <w:lang w:val="fr-LU" w:eastAsia="en-US"/>
        </w:rPr>
        <w:t xml:space="preserve"> de Luxembourg, des avocats habilités à exercer leurs activités dans un autre Etat membre des Communautés européennes ;</w:t>
      </w:r>
    </w:p>
    <w:p w:rsidR="00AD27FC" w:rsidRPr="00F94EC9" w:rsidRDefault="00AD27FC" w:rsidP="00AD27FC">
      <w:pPr>
        <w:numPr>
          <w:ilvl w:val="0"/>
          <w:numId w:val="1"/>
        </w:numPr>
        <w:jc w:val="both"/>
        <w:rPr>
          <w:rFonts w:ascii="Arial" w:hAnsi="Arial" w:cs="Arial"/>
          <w:b/>
          <w:snapToGrid w:val="0"/>
          <w:sz w:val="22"/>
          <w:szCs w:val="22"/>
          <w:lang w:val="fr-LU" w:eastAsia="en-US"/>
        </w:rPr>
      </w:pPr>
      <w:r w:rsidRPr="00F94EC9">
        <w:rPr>
          <w:rFonts w:ascii="Arial" w:hAnsi="Arial" w:cs="Arial"/>
          <w:b/>
          <w:snapToGrid w:val="0"/>
          <w:sz w:val="22"/>
          <w:szCs w:val="22"/>
          <w:lang w:val="fr-LU" w:eastAsia="en-US"/>
        </w:rPr>
        <w:t>de la loi modifiée du 31 mai 1999 régissant la domiciliation des sociétés</w:t>
      </w:r>
    </w:p>
    <w:p w:rsidR="00AD27FC" w:rsidRPr="00F94EC9" w:rsidRDefault="00AD27FC" w:rsidP="00AD27FC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  <w:lang w:val="fr-LU"/>
        </w:rPr>
      </w:pPr>
    </w:p>
    <w:p w:rsidR="00AD27FC" w:rsidRDefault="00AD27FC" w:rsidP="006C0DA4">
      <w:pPr>
        <w:jc w:val="both"/>
      </w:pPr>
    </w:p>
    <w:p w:rsidR="00255463" w:rsidRPr="00E96A04" w:rsidRDefault="00255463" w:rsidP="00255463">
      <w:pPr>
        <w:jc w:val="center"/>
        <w:rPr>
          <w:b/>
          <w:sz w:val="28"/>
          <w:szCs w:val="28"/>
          <w:u w:val="single"/>
        </w:rPr>
      </w:pPr>
      <w:r w:rsidRPr="00E96A04">
        <w:rPr>
          <w:b/>
          <w:sz w:val="28"/>
          <w:szCs w:val="28"/>
          <w:u w:val="single"/>
        </w:rPr>
        <w:t>Résumé</w:t>
      </w:r>
    </w:p>
    <w:p w:rsidR="006C0DA4" w:rsidRDefault="006C0DA4" w:rsidP="006C0DA4">
      <w:pPr>
        <w:jc w:val="both"/>
      </w:pPr>
    </w:p>
    <w:p w:rsidR="00255463" w:rsidRDefault="00AD27FC" w:rsidP="00255463">
      <w:pPr>
        <w:jc w:val="both"/>
        <w:rPr>
          <w:rFonts w:ascii="Arial" w:hAnsi="Arial" w:cs="Arial"/>
          <w:sz w:val="22"/>
          <w:szCs w:val="22"/>
          <w:lang w:val="fr-LU"/>
        </w:rPr>
      </w:pPr>
      <w:r w:rsidRPr="00F94EC9">
        <w:rPr>
          <w:rFonts w:ascii="Arial" w:hAnsi="Arial" w:cs="Arial"/>
          <w:sz w:val="22"/>
          <w:szCs w:val="22"/>
          <w:lang w:val="fr-LU"/>
        </w:rPr>
        <w:t>Le projet de loi sous rubrique résulte de la scission en deux projets de loi distincts du projet de loi 5660 déposé à la Chambre des Députés le 21 décembre 2006 par Monsieur le Ministre de la Justice</w:t>
      </w:r>
      <w:r>
        <w:rPr>
          <w:rFonts w:ascii="Arial" w:hAnsi="Arial" w:cs="Arial"/>
          <w:sz w:val="22"/>
          <w:szCs w:val="22"/>
          <w:lang w:val="fr-LU"/>
        </w:rPr>
        <w:t>.</w:t>
      </w:r>
    </w:p>
    <w:p w:rsidR="00AD27FC" w:rsidRDefault="00AD27FC" w:rsidP="00255463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AD27FC" w:rsidRPr="00F94EC9" w:rsidRDefault="00AD27FC" w:rsidP="00AD27FC">
      <w:pPr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P</w:t>
      </w:r>
      <w:r w:rsidRPr="00F94EC9">
        <w:rPr>
          <w:rFonts w:ascii="Arial" w:hAnsi="Arial" w:cs="Arial"/>
          <w:sz w:val="22"/>
          <w:szCs w:val="22"/>
          <w:lang w:val="fr-LU"/>
        </w:rPr>
        <w:t>ar une dépêche du 10 avril 2007 de la Secrétaire d’Etat aux relations avec le Parlement, le Ministre de la Justice a proposé de scinder le projet de loi 5660 en deux</w:t>
      </w:r>
      <w:r>
        <w:rPr>
          <w:rFonts w:ascii="Arial" w:hAnsi="Arial" w:cs="Arial"/>
          <w:sz w:val="22"/>
          <w:szCs w:val="22"/>
          <w:lang w:val="fr-LU"/>
        </w:rPr>
        <w:t>,</w:t>
      </w:r>
      <w:r w:rsidRPr="00F94EC9">
        <w:rPr>
          <w:rFonts w:ascii="Arial" w:hAnsi="Arial" w:cs="Arial"/>
          <w:sz w:val="22"/>
          <w:szCs w:val="22"/>
          <w:lang w:val="fr-LU"/>
        </w:rPr>
        <w:t xml:space="preserve"> afin que le volet visant à mettre la législation luxembourgeoise en conformité avec le droit communautaire</w:t>
      </w:r>
      <w:r>
        <w:rPr>
          <w:rFonts w:ascii="Arial" w:hAnsi="Arial" w:cs="Arial"/>
          <w:sz w:val="22"/>
          <w:szCs w:val="22"/>
          <w:lang w:val="fr-LU"/>
        </w:rPr>
        <w:t>,</w:t>
      </w:r>
      <w:r w:rsidRPr="00F94EC9">
        <w:rPr>
          <w:rFonts w:ascii="Arial" w:hAnsi="Arial" w:cs="Arial"/>
          <w:sz w:val="22"/>
          <w:szCs w:val="22"/>
          <w:lang w:val="fr-LU"/>
        </w:rPr>
        <w:t xml:space="preserve"> au vu de la mise en demeure, avec possibilité de demande de sanctions, adressée par la Commission européenne le 21 mars 2007 au </w:t>
      </w:r>
      <w:r>
        <w:rPr>
          <w:rFonts w:ascii="Arial" w:hAnsi="Arial" w:cs="Arial"/>
          <w:sz w:val="22"/>
          <w:szCs w:val="22"/>
          <w:lang w:val="fr-LU"/>
        </w:rPr>
        <w:t>Luxembourg,</w:t>
      </w:r>
      <w:r w:rsidRPr="00F94EC9">
        <w:rPr>
          <w:rFonts w:ascii="Arial" w:hAnsi="Arial" w:cs="Arial"/>
          <w:sz w:val="22"/>
          <w:szCs w:val="22"/>
          <w:lang w:val="fr-LU"/>
        </w:rPr>
        <w:t xml:space="preserve"> soit traité prioritairement. Cette mise en demeure fait suite à l’arrêt prononcé par la Cour de Justice des Communautés européennes en date du 19 septembre dans l’affaire C-193/05.</w:t>
      </w:r>
    </w:p>
    <w:p w:rsidR="00AD27FC" w:rsidRDefault="00AD27FC" w:rsidP="00255463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AD27FC" w:rsidRPr="00F94EC9" w:rsidRDefault="00AD27FC" w:rsidP="00AD27FC">
      <w:pPr>
        <w:jc w:val="both"/>
        <w:rPr>
          <w:rFonts w:ascii="Arial" w:hAnsi="Arial" w:cs="Arial"/>
          <w:sz w:val="22"/>
          <w:szCs w:val="22"/>
          <w:lang w:val="fr-LU"/>
        </w:rPr>
      </w:pPr>
      <w:r w:rsidRPr="00F94EC9">
        <w:rPr>
          <w:rFonts w:ascii="Arial" w:hAnsi="Arial" w:cs="Arial"/>
          <w:sz w:val="22"/>
          <w:szCs w:val="22"/>
          <w:lang w:val="fr-LU"/>
        </w:rPr>
        <w:t>Le présent projet de loi 5660A entend assurer la conformité du droit luxembourgeois avec les exigences de la directive 98/5/CE du Parlement européen et du Conseil du 16 février 1998 visant à faciliter l’exercice permanent de la profession d’avocat dans un Etat membre autre que celui où la qualification a été acquise, transposée par une loi du 13 novembre 2002, ainsi que cette directive a été interprétée par la Cour de Justice des Communautés européennes dans son arrêt du 19 septembre 2006 (affaire C-193/05).</w:t>
      </w:r>
    </w:p>
    <w:p w:rsidR="00AD27FC" w:rsidRPr="00AD27FC" w:rsidRDefault="00AD27FC" w:rsidP="00255463">
      <w:pPr>
        <w:jc w:val="both"/>
        <w:rPr>
          <w:lang w:val="fr-LU"/>
        </w:rPr>
      </w:pPr>
    </w:p>
    <w:p w:rsidR="006C0DA4" w:rsidRDefault="006C0DA4" w:rsidP="006C0DA4">
      <w:pPr>
        <w:jc w:val="both"/>
      </w:pPr>
    </w:p>
    <w:sectPr w:rsidR="006C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533"/>
    <w:multiLevelType w:val="hybridMultilevel"/>
    <w:tmpl w:val="40EAD7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A4"/>
    <w:rsid w:val="00255463"/>
    <w:rsid w:val="00592DBC"/>
    <w:rsid w:val="006707E5"/>
    <w:rsid w:val="006C0DA4"/>
    <w:rsid w:val="0071369F"/>
    <w:rsid w:val="00AD27FC"/>
    <w:rsid w:val="00B12F3E"/>
    <w:rsid w:val="00D77F46"/>
    <w:rsid w:val="00DE45A4"/>
    <w:rsid w:val="00E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095A7AF-D0EC-4598-AD22-6A75EDEF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A4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révision de l’article 68 de la Constitution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révision de l’article 68 de la Constitution</dc:title>
  <dc:subject/>
  <dc:creator>Laurent Besch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