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A9" w:rsidRPr="00C17363" w:rsidRDefault="00D603A9" w:rsidP="00C17363">
      <w:pPr>
        <w:autoSpaceDE w:val="0"/>
        <w:autoSpaceDN w:val="0"/>
        <w:adjustRightInd w:val="0"/>
        <w:spacing w:after="0" w:line="240" w:lineRule="auto"/>
        <w:rPr>
          <w:rFonts w:ascii="Arial" w:hAnsi="Arial" w:cs="Arial"/>
          <w:b/>
          <w:bCs/>
          <w:sz w:val="20"/>
          <w:szCs w:val="20"/>
          <w:lang w:val="fr-FR"/>
        </w:rPr>
      </w:pPr>
      <w:bookmarkStart w:id="0" w:name="_GoBack"/>
      <w:bookmarkEnd w:id="0"/>
      <w:r w:rsidRPr="00C17363">
        <w:rPr>
          <w:rFonts w:ascii="Arial" w:hAnsi="Arial" w:cs="Arial"/>
          <w:b/>
          <w:bCs/>
          <w:sz w:val="20"/>
          <w:szCs w:val="20"/>
          <w:lang w:val="fr-FR"/>
        </w:rPr>
        <w:t>Projet de loi portant :</w:t>
      </w:r>
    </w:p>
    <w:p w:rsidR="00D603A9" w:rsidRPr="00C17363" w:rsidRDefault="00D603A9" w:rsidP="00D603A9">
      <w:pPr>
        <w:spacing w:after="0" w:line="240" w:lineRule="auto"/>
        <w:ind w:left="993" w:hanging="567"/>
        <w:jc w:val="both"/>
        <w:rPr>
          <w:rFonts w:ascii="Arial" w:hAnsi="Arial" w:cs="Arial"/>
          <w:b/>
          <w:bCs/>
          <w:sz w:val="20"/>
          <w:szCs w:val="20"/>
          <w:lang w:val="fr-FR"/>
        </w:rPr>
      </w:pPr>
    </w:p>
    <w:p w:rsidR="00D603A9" w:rsidRPr="00C17363" w:rsidRDefault="00D603A9" w:rsidP="00D603A9">
      <w:pPr>
        <w:spacing w:after="0" w:line="240" w:lineRule="auto"/>
        <w:ind w:left="993" w:hanging="567"/>
        <w:jc w:val="both"/>
        <w:rPr>
          <w:rFonts w:ascii="Arial" w:hAnsi="Arial" w:cs="Arial"/>
          <w:b/>
          <w:bCs/>
          <w:sz w:val="20"/>
          <w:szCs w:val="20"/>
          <w:lang w:val="fr-FR"/>
        </w:rPr>
      </w:pPr>
      <w:r w:rsidRPr="00C17363">
        <w:rPr>
          <w:rFonts w:ascii="Arial" w:hAnsi="Arial" w:cs="Arial"/>
          <w:b/>
          <w:bCs/>
          <w:sz w:val="20"/>
          <w:szCs w:val="20"/>
          <w:lang w:val="fr-FR"/>
        </w:rPr>
        <w:t>1°</w:t>
      </w:r>
      <w:r w:rsidRPr="00C17363">
        <w:rPr>
          <w:rFonts w:ascii="Arial" w:hAnsi="Arial" w:cs="Arial"/>
          <w:b/>
          <w:bCs/>
          <w:sz w:val="20"/>
          <w:szCs w:val="20"/>
          <w:lang w:val="fr-FR"/>
        </w:rPr>
        <w:tab/>
        <w:t>modification de :</w:t>
      </w:r>
    </w:p>
    <w:p w:rsidR="00D603A9" w:rsidRPr="00C17363" w:rsidRDefault="00D603A9" w:rsidP="00D603A9">
      <w:pPr>
        <w:spacing w:after="0" w:line="240" w:lineRule="auto"/>
        <w:ind w:left="1985" w:hanging="567"/>
        <w:jc w:val="both"/>
        <w:rPr>
          <w:rFonts w:ascii="Arial" w:hAnsi="Arial" w:cs="Arial"/>
          <w:b/>
          <w:bCs/>
          <w:sz w:val="20"/>
          <w:szCs w:val="20"/>
          <w:lang w:val="fr-FR"/>
        </w:rPr>
      </w:pPr>
      <w:r w:rsidRPr="00C17363">
        <w:rPr>
          <w:rFonts w:ascii="Arial" w:hAnsi="Arial" w:cs="Arial"/>
          <w:b/>
          <w:bCs/>
          <w:sz w:val="20"/>
          <w:szCs w:val="20"/>
          <w:lang w:val="fr-FR"/>
        </w:rPr>
        <w:t>a)</w:t>
      </w:r>
      <w:r w:rsidRPr="00C17363">
        <w:rPr>
          <w:rFonts w:ascii="Arial" w:hAnsi="Arial" w:cs="Arial"/>
          <w:b/>
          <w:bCs/>
          <w:sz w:val="20"/>
          <w:szCs w:val="20"/>
          <w:lang w:val="fr-FR"/>
        </w:rPr>
        <w:tab/>
        <w:t>la loi modifiée du 15 mars 2016 relative aux produits dérivés de gré à gré, aux contreparties centrales et aux référentiels centraux et modifiant différentes lois relatives aux services financiers ;</w:t>
      </w:r>
    </w:p>
    <w:p w:rsidR="00D603A9" w:rsidRPr="00C17363" w:rsidRDefault="00D603A9" w:rsidP="00D603A9">
      <w:pPr>
        <w:spacing w:after="0" w:line="240" w:lineRule="auto"/>
        <w:ind w:left="1985" w:hanging="567"/>
        <w:jc w:val="both"/>
        <w:rPr>
          <w:rFonts w:ascii="Arial" w:hAnsi="Arial" w:cs="Arial"/>
          <w:b/>
          <w:bCs/>
          <w:sz w:val="20"/>
          <w:szCs w:val="20"/>
          <w:lang w:val="fr-FR"/>
        </w:rPr>
      </w:pPr>
      <w:r w:rsidRPr="00C17363">
        <w:rPr>
          <w:rFonts w:ascii="Arial" w:hAnsi="Arial" w:cs="Arial"/>
          <w:b/>
          <w:bCs/>
          <w:sz w:val="20"/>
          <w:szCs w:val="20"/>
          <w:lang w:val="fr-FR"/>
        </w:rPr>
        <w:t>b)</w:t>
      </w:r>
      <w:r w:rsidRPr="00C17363">
        <w:rPr>
          <w:rFonts w:ascii="Arial" w:hAnsi="Arial" w:cs="Arial"/>
          <w:b/>
          <w:bCs/>
          <w:sz w:val="20"/>
          <w:szCs w:val="20"/>
          <w:lang w:val="fr-FR"/>
        </w:rPr>
        <w:tab/>
        <w:t>la loi modifiée du 23 décembre 1998 portant création d’une commission de surveillance du secteur financier ;</w:t>
      </w:r>
    </w:p>
    <w:p w:rsidR="00D603A9" w:rsidRPr="00C17363" w:rsidRDefault="00D603A9" w:rsidP="00D603A9">
      <w:pPr>
        <w:spacing w:after="0" w:line="240" w:lineRule="auto"/>
        <w:ind w:left="1985" w:hanging="567"/>
        <w:jc w:val="both"/>
        <w:rPr>
          <w:rFonts w:ascii="Arial" w:hAnsi="Arial" w:cs="Arial"/>
          <w:b/>
          <w:bCs/>
          <w:sz w:val="20"/>
          <w:szCs w:val="20"/>
          <w:lang w:val="fr-FR"/>
        </w:rPr>
      </w:pPr>
      <w:r w:rsidRPr="00C17363">
        <w:rPr>
          <w:rFonts w:ascii="Arial" w:hAnsi="Arial" w:cs="Arial"/>
          <w:b/>
          <w:bCs/>
          <w:sz w:val="20"/>
          <w:szCs w:val="20"/>
          <w:lang w:val="fr-FR"/>
        </w:rPr>
        <w:t>c)</w:t>
      </w:r>
      <w:r w:rsidRPr="00C17363">
        <w:rPr>
          <w:rFonts w:ascii="Arial" w:hAnsi="Arial" w:cs="Arial"/>
          <w:b/>
          <w:bCs/>
          <w:sz w:val="20"/>
          <w:szCs w:val="20"/>
          <w:lang w:val="fr-FR"/>
        </w:rPr>
        <w:tab/>
        <w:t>la loi modifiée du 5 août 2005 sur les contrats de garantie financière ;</w:t>
      </w:r>
    </w:p>
    <w:p w:rsidR="00D603A9" w:rsidRPr="00C17363" w:rsidRDefault="00D603A9" w:rsidP="00D603A9">
      <w:pPr>
        <w:spacing w:after="0" w:line="240" w:lineRule="auto"/>
        <w:ind w:left="1985" w:hanging="567"/>
        <w:jc w:val="both"/>
        <w:rPr>
          <w:rFonts w:ascii="Arial" w:hAnsi="Arial" w:cs="Arial"/>
          <w:b/>
          <w:bCs/>
          <w:sz w:val="20"/>
          <w:szCs w:val="20"/>
          <w:lang w:val="fr-FR"/>
        </w:rPr>
      </w:pPr>
      <w:r w:rsidRPr="00C17363">
        <w:rPr>
          <w:rFonts w:ascii="Arial" w:hAnsi="Arial" w:cs="Arial"/>
          <w:b/>
          <w:bCs/>
          <w:sz w:val="20"/>
          <w:szCs w:val="20"/>
          <w:lang w:val="fr-FR"/>
        </w:rPr>
        <w:t>d)</w:t>
      </w:r>
      <w:r w:rsidRPr="00C17363">
        <w:rPr>
          <w:rFonts w:ascii="Arial" w:hAnsi="Arial" w:cs="Arial"/>
          <w:b/>
          <w:bCs/>
          <w:sz w:val="20"/>
          <w:szCs w:val="20"/>
          <w:lang w:val="fr-FR"/>
        </w:rPr>
        <w:tab/>
        <w:t>la loi modifiée du 19 mai 2006 portant transposition de la directive 2004/25/CE du Parlement européen et du Conseil du 21 avril 2004 concernant les offres publiques d’acquisition ;</w:t>
      </w:r>
    </w:p>
    <w:p w:rsidR="00D603A9" w:rsidRPr="00C17363" w:rsidRDefault="00D603A9" w:rsidP="00D603A9">
      <w:pPr>
        <w:spacing w:after="0" w:line="240" w:lineRule="auto"/>
        <w:ind w:left="1985" w:hanging="567"/>
        <w:jc w:val="both"/>
        <w:rPr>
          <w:rFonts w:ascii="Arial" w:hAnsi="Arial" w:cs="Arial"/>
          <w:b/>
          <w:bCs/>
          <w:sz w:val="20"/>
          <w:szCs w:val="20"/>
          <w:lang w:val="fr-FR"/>
        </w:rPr>
      </w:pPr>
      <w:r w:rsidRPr="00C17363">
        <w:rPr>
          <w:rFonts w:ascii="Arial" w:hAnsi="Arial" w:cs="Arial"/>
          <w:b/>
          <w:bCs/>
          <w:sz w:val="20"/>
          <w:szCs w:val="20"/>
          <w:lang w:val="fr-FR"/>
        </w:rPr>
        <w:t>e)</w:t>
      </w:r>
      <w:r w:rsidRPr="00C17363">
        <w:rPr>
          <w:rFonts w:ascii="Arial" w:hAnsi="Arial" w:cs="Arial"/>
          <w:b/>
          <w:bCs/>
          <w:sz w:val="20"/>
          <w:szCs w:val="20"/>
          <w:lang w:val="fr-FR"/>
        </w:rPr>
        <w:tab/>
        <w:t>la loi modifiée du 24 mai 2011 concernant l'exercice de certains droits des actionnaires aux assemblées générales des sociétés cotées ;</w:t>
      </w:r>
    </w:p>
    <w:p w:rsidR="00D603A9" w:rsidRPr="00C17363" w:rsidRDefault="00D603A9" w:rsidP="00D603A9">
      <w:pPr>
        <w:spacing w:after="0" w:line="240" w:lineRule="auto"/>
        <w:ind w:left="1985" w:hanging="567"/>
        <w:jc w:val="both"/>
        <w:rPr>
          <w:rFonts w:ascii="Arial" w:hAnsi="Arial" w:cs="Arial"/>
          <w:b/>
          <w:bCs/>
          <w:sz w:val="20"/>
          <w:szCs w:val="20"/>
          <w:lang w:val="fr-FR"/>
        </w:rPr>
      </w:pPr>
      <w:r w:rsidRPr="00C17363">
        <w:rPr>
          <w:rFonts w:ascii="Arial" w:hAnsi="Arial" w:cs="Arial"/>
          <w:b/>
          <w:bCs/>
          <w:sz w:val="20"/>
          <w:szCs w:val="20"/>
          <w:lang w:val="fr-FR"/>
        </w:rPr>
        <w:t>f)</w:t>
      </w:r>
      <w:r w:rsidRPr="00C17363">
        <w:rPr>
          <w:rFonts w:ascii="Arial" w:hAnsi="Arial" w:cs="Arial"/>
          <w:b/>
          <w:bCs/>
          <w:sz w:val="20"/>
          <w:szCs w:val="20"/>
          <w:lang w:val="fr-FR"/>
        </w:rPr>
        <w:tab/>
        <w:t>la loi modifiée du 18 décembre 2015 relative à la défaillance des établissements de crédit et de certaines entreprises d’investissement ; et du</w:t>
      </w:r>
    </w:p>
    <w:p w:rsidR="00D603A9" w:rsidRPr="00C17363" w:rsidRDefault="00D603A9" w:rsidP="00D603A9">
      <w:pPr>
        <w:spacing w:after="0" w:line="240" w:lineRule="auto"/>
        <w:ind w:left="1985" w:hanging="567"/>
        <w:jc w:val="both"/>
        <w:rPr>
          <w:rFonts w:ascii="Arial" w:hAnsi="Arial" w:cs="Arial"/>
          <w:b/>
          <w:bCs/>
          <w:sz w:val="20"/>
          <w:szCs w:val="20"/>
          <w:lang w:val="fr-FR"/>
        </w:rPr>
      </w:pPr>
      <w:r w:rsidRPr="00C17363">
        <w:rPr>
          <w:rFonts w:ascii="Arial" w:hAnsi="Arial" w:cs="Arial"/>
          <w:b/>
          <w:bCs/>
          <w:sz w:val="20"/>
          <w:szCs w:val="20"/>
          <w:lang w:val="fr-FR"/>
        </w:rPr>
        <w:t xml:space="preserve">g) </w:t>
      </w:r>
      <w:r w:rsidRPr="00C17363">
        <w:rPr>
          <w:rFonts w:ascii="Arial" w:hAnsi="Arial" w:cs="Arial"/>
          <w:b/>
          <w:bCs/>
          <w:sz w:val="20"/>
          <w:szCs w:val="20"/>
          <w:lang w:val="fr-FR"/>
        </w:rPr>
        <w:tab/>
        <w:t>règlement grand-ducal modifié du 18 décembre 1981 concernant les dépôts fongibles de métaux précieux et modifiant l’article 1</w:t>
      </w:r>
      <w:r w:rsidRPr="00C17363">
        <w:rPr>
          <w:rFonts w:ascii="Arial" w:hAnsi="Arial" w:cs="Arial"/>
          <w:b/>
          <w:bCs/>
          <w:sz w:val="20"/>
          <w:szCs w:val="20"/>
          <w:vertAlign w:val="superscript"/>
          <w:lang w:val="fr-FR"/>
        </w:rPr>
        <w:t>er</w:t>
      </w:r>
      <w:r w:rsidRPr="00C17363">
        <w:rPr>
          <w:rFonts w:ascii="Arial" w:hAnsi="Arial" w:cs="Arial"/>
          <w:b/>
          <w:bCs/>
          <w:sz w:val="20"/>
          <w:szCs w:val="20"/>
          <w:lang w:val="fr-FR"/>
        </w:rPr>
        <w:t xml:space="preserve"> du règlement grand-ducal du 17 février 1971 concernant la circulation de valeurs mobilières ; et</w:t>
      </w:r>
    </w:p>
    <w:p w:rsidR="00D603A9" w:rsidRPr="00C17363" w:rsidRDefault="00D603A9" w:rsidP="00D603A9">
      <w:pPr>
        <w:spacing w:after="0" w:line="240" w:lineRule="auto"/>
        <w:ind w:left="993" w:hanging="567"/>
        <w:jc w:val="both"/>
        <w:rPr>
          <w:rFonts w:ascii="Arial" w:hAnsi="Arial" w:cs="Arial"/>
          <w:b/>
          <w:bCs/>
          <w:sz w:val="20"/>
          <w:szCs w:val="20"/>
          <w:lang w:val="fr-FR"/>
        </w:rPr>
      </w:pPr>
      <w:r w:rsidRPr="00C17363">
        <w:rPr>
          <w:rFonts w:ascii="Arial" w:hAnsi="Arial" w:cs="Arial"/>
          <w:b/>
          <w:bCs/>
          <w:sz w:val="20"/>
          <w:szCs w:val="20"/>
          <w:lang w:val="fr-FR"/>
        </w:rPr>
        <w:t>2°</w:t>
      </w:r>
      <w:r w:rsidRPr="00C17363">
        <w:rPr>
          <w:rFonts w:ascii="Arial" w:hAnsi="Arial" w:cs="Arial"/>
          <w:b/>
          <w:bCs/>
          <w:sz w:val="20"/>
          <w:szCs w:val="20"/>
          <w:lang w:val="fr-FR"/>
        </w:rPr>
        <w:tab/>
        <w:t>mise en œuvre du règlement (UE) 2021/23 du Parlement européen et du Conseil du 16 décembre 2020 relatif à un cadre pour le redressement et la résolution des contreparties centrales et modifiant les règlements (UE) n° 1095/2010, (UE) n° 648/2012, (UE) n° 600/2014, (UE) n° 806/2014 et (UE) 2015/2365, ainsi que les directives 2002/47/CE, 2004/25/CE, 2007/36/CE, 2014/59/UE et (UE) 2017/1132</w:t>
      </w:r>
    </w:p>
    <w:p w:rsidR="0074384E" w:rsidRPr="0074384E" w:rsidRDefault="0074384E" w:rsidP="00C17363">
      <w:pPr>
        <w:spacing w:after="0" w:line="240" w:lineRule="auto"/>
        <w:ind w:right="571"/>
        <w:jc w:val="both"/>
        <w:rPr>
          <w:rFonts w:ascii="Arial" w:hAnsi="Arial" w:cs="Arial"/>
          <w:b/>
          <w:bCs/>
          <w:lang w:val="fr-FR"/>
        </w:rPr>
      </w:pPr>
    </w:p>
    <w:p w:rsidR="00FF7687" w:rsidRPr="00FF7687" w:rsidRDefault="00FF7687" w:rsidP="00FF7687">
      <w:pPr>
        <w:spacing w:after="0" w:line="240" w:lineRule="auto"/>
        <w:jc w:val="both"/>
        <w:rPr>
          <w:rFonts w:ascii="Arial" w:hAnsi="Arial" w:cs="Arial"/>
          <w:lang w:val="fr-CH"/>
        </w:rPr>
      </w:pPr>
      <w:r w:rsidRPr="00FF7687">
        <w:rPr>
          <w:rFonts w:ascii="Arial" w:hAnsi="Arial" w:cs="Arial"/>
          <w:lang w:val="fr-CH"/>
        </w:rPr>
        <w:t>Le projet de loi a</w:t>
      </w:r>
      <w:r w:rsidR="00C17363">
        <w:rPr>
          <w:rFonts w:ascii="Arial" w:hAnsi="Arial" w:cs="Arial"/>
          <w:lang w:val="fr-CH"/>
        </w:rPr>
        <w:t>,</w:t>
      </w:r>
      <w:r w:rsidRPr="00FF7687">
        <w:rPr>
          <w:rFonts w:ascii="Arial" w:hAnsi="Arial" w:cs="Arial"/>
          <w:lang w:val="fr-CH"/>
        </w:rPr>
        <w:t xml:space="preserve"> </w:t>
      </w:r>
      <w:r w:rsidR="00C17363" w:rsidRPr="00C17363">
        <w:rPr>
          <w:rFonts w:ascii="Arial" w:hAnsi="Arial" w:cs="Arial"/>
          <w:u w:val="single"/>
          <w:lang w:val="fr-CH"/>
        </w:rPr>
        <w:t>en premier lieu</w:t>
      </w:r>
      <w:r w:rsidR="00C17363">
        <w:rPr>
          <w:rFonts w:ascii="Arial" w:hAnsi="Arial" w:cs="Arial"/>
          <w:lang w:val="fr-CH"/>
        </w:rPr>
        <w:t>,</w:t>
      </w:r>
      <w:r w:rsidR="00C17363" w:rsidRPr="00FF7687">
        <w:rPr>
          <w:rFonts w:ascii="Arial" w:hAnsi="Arial" w:cs="Arial"/>
          <w:lang w:val="fr-CH"/>
        </w:rPr>
        <w:t xml:space="preserve"> </w:t>
      </w:r>
      <w:r w:rsidRPr="00FF7687">
        <w:rPr>
          <w:rFonts w:ascii="Arial" w:hAnsi="Arial" w:cs="Arial"/>
          <w:lang w:val="fr-CH"/>
        </w:rPr>
        <w:t xml:space="preserve">pour objet </w:t>
      </w:r>
      <w:r w:rsidRPr="00C17363">
        <w:rPr>
          <w:rFonts w:ascii="Arial" w:hAnsi="Arial" w:cs="Arial"/>
          <w:u w:val="single"/>
          <w:lang w:val="fr-CH"/>
        </w:rPr>
        <w:t>d’opérationnaliser le règlement (UE) 2021/23</w:t>
      </w:r>
      <w:r w:rsidRPr="00FF7687">
        <w:rPr>
          <w:rFonts w:ascii="Arial" w:hAnsi="Arial" w:cs="Arial"/>
          <w:lang w:val="fr-CH"/>
        </w:rPr>
        <w:t xml:space="preserve"> du Parlement européen et du Conseil du 16 décembre 2020 relatif à un cadre pour le </w:t>
      </w:r>
      <w:r w:rsidRPr="00C17363">
        <w:rPr>
          <w:rFonts w:ascii="Arial" w:hAnsi="Arial" w:cs="Arial"/>
          <w:u w:val="single"/>
          <w:lang w:val="fr-CH"/>
        </w:rPr>
        <w:t>redressement et la résolution des contreparties centrales</w:t>
      </w:r>
      <w:r w:rsidRPr="00FF7687">
        <w:rPr>
          <w:rFonts w:ascii="Arial" w:hAnsi="Arial" w:cs="Arial"/>
          <w:lang w:val="fr-CH"/>
        </w:rPr>
        <w:t xml:space="preserve"> et modifiant les règlements (UE) n° 1095/2010, (UE) n° 648/2012, (UE) n° 600/2014, (UE) n° 806/2014 et (UE) 2015/2365, ainsi que les directives 2002/47/CE, 2004/25/CE, 2007/36/CE, 2014/59/UE et (UE) 2017/1132 (ci-après « règlement (UE) 2021/23 »).</w:t>
      </w:r>
    </w:p>
    <w:p w:rsidR="00FF7687" w:rsidRDefault="00FF7687" w:rsidP="00FF7687">
      <w:pPr>
        <w:spacing w:after="0" w:line="240" w:lineRule="auto"/>
        <w:jc w:val="both"/>
        <w:rPr>
          <w:rFonts w:ascii="Arial" w:hAnsi="Arial" w:cs="Arial"/>
          <w:lang w:val="fr-CH"/>
        </w:rPr>
      </w:pPr>
    </w:p>
    <w:p w:rsidR="00FF7687" w:rsidRPr="00FF7687" w:rsidRDefault="00FF7687" w:rsidP="00FF7687">
      <w:pPr>
        <w:spacing w:after="0" w:line="240" w:lineRule="auto"/>
        <w:jc w:val="both"/>
        <w:rPr>
          <w:rFonts w:ascii="Arial" w:hAnsi="Arial" w:cs="Arial"/>
          <w:lang w:val="fr-CH"/>
        </w:rPr>
      </w:pPr>
      <w:r w:rsidRPr="00C17363">
        <w:rPr>
          <w:rFonts w:ascii="Arial" w:hAnsi="Arial" w:cs="Arial"/>
          <w:u w:val="single"/>
          <w:lang w:val="fr-CH"/>
        </w:rPr>
        <w:t>En second lieu</w:t>
      </w:r>
      <w:r w:rsidRPr="00FF7687">
        <w:rPr>
          <w:rFonts w:ascii="Arial" w:hAnsi="Arial" w:cs="Arial"/>
          <w:lang w:val="fr-CH"/>
        </w:rPr>
        <w:t xml:space="preserve">, des </w:t>
      </w:r>
      <w:r w:rsidRPr="00C17363">
        <w:rPr>
          <w:rFonts w:ascii="Arial" w:hAnsi="Arial" w:cs="Arial"/>
          <w:u w:val="single"/>
          <w:lang w:val="fr-CH"/>
        </w:rPr>
        <w:t>ajustements</w:t>
      </w:r>
      <w:r w:rsidRPr="00FF7687">
        <w:rPr>
          <w:rFonts w:ascii="Arial" w:hAnsi="Arial" w:cs="Arial"/>
          <w:lang w:val="fr-CH"/>
        </w:rPr>
        <w:t xml:space="preserve"> sont apportés à la loi modifiée du 5 août 2005 sur les contrats de garantie financière afin de la moderniser et de la clarifier.</w:t>
      </w:r>
    </w:p>
    <w:p w:rsidR="00FF7687" w:rsidRDefault="00FF7687" w:rsidP="00FF7687">
      <w:pPr>
        <w:spacing w:after="0" w:line="240" w:lineRule="auto"/>
        <w:jc w:val="both"/>
        <w:rPr>
          <w:rFonts w:ascii="Arial" w:hAnsi="Arial" w:cs="Arial"/>
          <w:lang w:val="fr-CH"/>
        </w:rPr>
      </w:pPr>
    </w:p>
    <w:p w:rsidR="00FF7687" w:rsidRPr="00FF7687" w:rsidRDefault="00FF7687" w:rsidP="00FF7687">
      <w:pPr>
        <w:spacing w:after="0" w:line="240" w:lineRule="auto"/>
        <w:jc w:val="both"/>
        <w:rPr>
          <w:rFonts w:ascii="Arial" w:hAnsi="Arial" w:cs="Arial"/>
          <w:lang w:val="fr-CH"/>
        </w:rPr>
      </w:pPr>
      <w:r w:rsidRPr="00FF7687">
        <w:rPr>
          <w:rFonts w:ascii="Arial" w:hAnsi="Arial" w:cs="Arial"/>
          <w:lang w:val="fr-CH"/>
        </w:rPr>
        <w:t>Le règlement (UE) 2021/23 s’inscrit dans la continuité du règlement (UE) n° 648/2012 du Parlement européen et du Conseil du 4 juillet 2012 sur les produits dérivés de gré à gré, les contreparties centrales et les référentiels centraux (règlement dit « EMIR »).</w:t>
      </w:r>
    </w:p>
    <w:p w:rsidR="00FF7687" w:rsidRPr="00FF7687" w:rsidRDefault="00FF7687" w:rsidP="00FF7687">
      <w:pPr>
        <w:spacing w:after="0" w:line="240" w:lineRule="auto"/>
        <w:jc w:val="both"/>
        <w:rPr>
          <w:rFonts w:ascii="Arial" w:hAnsi="Arial" w:cs="Arial"/>
          <w:lang w:val="fr-CH"/>
        </w:rPr>
      </w:pPr>
    </w:p>
    <w:p w:rsidR="00FF7687" w:rsidRPr="00FF7687" w:rsidRDefault="00FF7687" w:rsidP="00FF7687">
      <w:pPr>
        <w:spacing w:after="0" w:line="240" w:lineRule="auto"/>
        <w:jc w:val="both"/>
        <w:rPr>
          <w:rFonts w:ascii="Arial" w:hAnsi="Arial" w:cs="Arial"/>
          <w:lang w:val="fr-CH"/>
        </w:rPr>
      </w:pPr>
      <w:r w:rsidRPr="00FF7687">
        <w:rPr>
          <w:rFonts w:ascii="Arial" w:hAnsi="Arial" w:cs="Arial"/>
          <w:lang w:val="fr-CH"/>
        </w:rPr>
        <w:t xml:space="preserve">Compte tenu de l'importance et de la taille croissantes des activités des contreparties centrales et </w:t>
      </w:r>
      <w:r w:rsidRPr="00C6352E">
        <w:rPr>
          <w:rFonts w:ascii="Arial" w:hAnsi="Arial" w:cs="Arial"/>
          <w:lang w:val="fr-CH"/>
        </w:rPr>
        <w:t>de l</w:t>
      </w:r>
      <w:r w:rsidR="00C6352E" w:rsidRPr="00C6352E">
        <w:rPr>
          <w:rFonts w:ascii="Arial" w:hAnsi="Arial" w:cs="Arial"/>
          <w:lang w:val="fr-CH"/>
        </w:rPr>
        <w:t xml:space="preserve">a </w:t>
      </w:r>
      <w:r w:rsidRPr="00C6352E">
        <w:rPr>
          <w:rFonts w:ascii="Arial" w:hAnsi="Arial" w:cs="Arial"/>
          <w:lang w:val="fr-CH"/>
        </w:rPr>
        <w:t>part significative du risque financier</w:t>
      </w:r>
      <w:r w:rsidRPr="00FF7687">
        <w:rPr>
          <w:rFonts w:ascii="Arial" w:hAnsi="Arial" w:cs="Arial"/>
          <w:lang w:val="fr-CH"/>
        </w:rPr>
        <w:t xml:space="preserve"> du système financier de l’Union </w:t>
      </w:r>
      <w:r w:rsidR="00C6352E">
        <w:rPr>
          <w:rFonts w:ascii="Arial" w:hAnsi="Arial" w:cs="Arial"/>
          <w:lang w:val="fr-CH"/>
        </w:rPr>
        <w:t>traitée par celles-ci</w:t>
      </w:r>
      <w:r w:rsidRPr="00FF7687">
        <w:rPr>
          <w:rFonts w:ascii="Arial" w:hAnsi="Arial" w:cs="Arial"/>
          <w:lang w:val="fr-CH"/>
        </w:rPr>
        <w:t xml:space="preserve">, il est devenu nécessaire de compléter la législation européenne existante en la matière en introduisant un </w:t>
      </w:r>
      <w:r w:rsidRPr="00C17363">
        <w:rPr>
          <w:rFonts w:ascii="Arial" w:hAnsi="Arial" w:cs="Arial"/>
          <w:u w:val="single"/>
          <w:lang w:val="fr-CH"/>
        </w:rPr>
        <w:t>cadre de redressement et de résolution spécifique pour les contreparties centrales</w:t>
      </w:r>
      <w:r w:rsidRPr="00FF7687">
        <w:rPr>
          <w:rFonts w:ascii="Arial" w:hAnsi="Arial" w:cs="Arial"/>
          <w:lang w:val="fr-CH"/>
        </w:rPr>
        <w:t>.</w:t>
      </w:r>
    </w:p>
    <w:p w:rsidR="00FF7687" w:rsidRDefault="00FF7687" w:rsidP="00FF7687">
      <w:pPr>
        <w:spacing w:after="0" w:line="240" w:lineRule="auto"/>
        <w:jc w:val="both"/>
        <w:rPr>
          <w:rFonts w:ascii="Arial" w:hAnsi="Arial" w:cs="Arial"/>
          <w:lang w:val="fr-CH"/>
        </w:rPr>
      </w:pPr>
    </w:p>
    <w:p w:rsidR="00FF7687" w:rsidRPr="00FF7687" w:rsidRDefault="00FF7687" w:rsidP="00FF7687">
      <w:pPr>
        <w:spacing w:after="0" w:line="240" w:lineRule="auto"/>
        <w:jc w:val="both"/>
        <w:rPr>
          <w:rFonts w:ascii="Arial" w:hAnsi="Arial" w:cs="Arial"/>
          <w:lang w:val="fr-CH"/>
        </w:rPr>
      </w:pPr>
      <w:r w:rsidRPr="00FF7687">
        <w:rPr>
          <w:rFonts w:ascii="Arial" w:hAnsi="Arial" w:cs="Arial"/>
          <w:lang w:val="fr-CH"/>
        </w:rPr>
        <w:t>La mise en œuvre du règlement (UE) 2021/23 nécessite la modification de plusieurs lois. Sont modifiées notamment la loi modifiée du 15 mars 2016 relative aux produits dérivés de gré à gré, aux contreparties centrales et aux référentiels centraux et modifiant différentes lois relatives aux services financiers</w:t>
      </w:r>
      <w:r>
        <w:rPr>
          <w:rFonts w:ascii="Arial" w:hAnsi="Arial" w:cs="Arial"/>
          <w:lang w:val="fr-CH"/>
        </w:rPr>
        <w:t>,</w:t>
      </w:r>
      <w:r w:rsidRPr="00FF7687">
        <w:rPr>
          <w:rFonts w:ascii="Arial" w:hAnsi="Arial" w:cs="Arial"/>
          <w:lang w:val="fr-CH"/>
        </w:rPr>
        <w:t xml:space="preserve"> ainsi que la loi modifiée du 23 décembre 1998 portant création d’une commission de surveillance du secteur financier. La Commission de surveillance du secteur financier (CSSF) se voit attribuer de nouvelles compétences en matière de redressement des contreparties centrales. Le conseil de résolution de la CSSF se voit attribuer des compétences en matière de résolution des contreparties centrales.</w:t>
      </w:r>
    </w:p>
    <w:p w:rsidR="00FF7687" w:rsidRPr="00FF7687" w:rsidRDefault="00FF7687" w:rsidP="00FF7687">
      <w:pPr>
        <w:spacing w:after="0" w:line="240" w:lineRule="auto"/>
        <w:jc w:val="both"/>
        <w:rPr>
          <w:rFonts w:ascii="Arial" w:hAnsi="Arial" w:cs="Arial"/>
          <w:lang w:val="fr-CH"/>
        </w:rPr>
      </w:pPr>
    </w:p>
    <w:p w:rsidR="00FF7687" w:rsidRPr="00FF7687" w:rsidRDefault="00FF7687" w:rsidP="00FF7687">
      <w:pPr>
        <w:spacing w:after="0" w:line="240" w:lineRule="auto"/>
        <w:jc w:val="both"/>
        <w:rPr>
          <w:rFonts w:ascii="Arial" w:hAnsi="Arial" w:cs="Arial"/>
          <w:lang w:val="fr-FR"/>
        </w:rPr>
      </w:pPr>
      <w:r w:rsidRPr="00FF7687">
        <w:rPr>
          <w:rFonts w:ascii="Arial" w:hAnsi="Arial" w:cs="Arial"/>
          <w:lang w:val="fr-CH"/>
        </w:rPr>
        <w:lastRenderedPageBreak/>
        <w:t xml:space="preserve">Le deuxième volet de la loi en projet vise à modifier la </w:t>
      </w:r>
      <w:r w:rsidRPr="00FF7687">
        <w:rPr>
          <w:rFonts w:ascii="Arial" w:hAnsi="Arial" w:cs="Arial"/>
          <w:lang w:val="fr-FR"/>
        </w:rPr>
        <w:t xml:space="preserve">loi modifiée du 5 août 2005 sur les contrats de garantie financière. Il s’agit notamment de </w:t>
      </w:r>
      <w:r w:rsidRPr="00B63DA1">
        <w:rPr>
          <w:rFonts w:ascii="Arial" w:hAnsi="Arial" w:cs="Arial"/>
          <w:u w:val="single"/>
          <w:lang w:val="fr-FR"/>
        </w:rPr>
        <w:t>moderniser les dispositions relatives à l’exécution des garanties financières</w:t>
      </w:r>
      <w:r w:rsidRPr="00FF7687">
        <w:rPr>
          <w:rFonts w:ascii="Arial" w:hAnsi="Arial" w:cs="Arial"/>
          <w:lang w:val="fr-FR"/>
        </w:rPr>
        <w:t>. Ainsi le régime de la vente publique d’instruments financiers à la suite de l’exécution d’une garantie financière est reformé. Les dispositions en vigueur à l’heure actuelle confient la vente publique d’instruments financiers à la Bourse de Luxembourg. Or, cette disposition remonte à l'époque où la Bourse de Luxembourg fonctionnait sur base d'une concession de l’État. Par voie de conséquence, il est nécessaire de prévoir un nouveau régime de vente publique des instruments financiers. Le nouveau régime s’inspire de la procédure classique de la vente aux enchères.</w:t>
      </w:r>
    </w:p>
    <w:p w:rsidR="00FF7687" w:rsidRDefault="00FF7687" w:rsidP="00FF7687">
      <w:pPr>
        <w:spacing w:after="0" w:line="240" w:lineRule="auto"/>
        <w:jc w:val="both"/>
        <w:rPr>
          <w:rFonts w:ascii="Arial" w:hAnsi="Arial" w:cs="Arial"/>
          <w:lang w:val="fr-FR"/>
        </w:rPr>
      </w:pPr>
    </w:p>
    <w:p w:rsidR="00FF7687" w:rsidRPr="00FF7687" w:rsidRDefault="00FF7687" w:rsidP="00FF7687">
      <w:pPr>
        <w:spacing w:after="0" w:line="240" w:lineRule="auto"/>
        <w:jc w:val="both"/>
        <w:rPr>
          <w:rFonts w:ascii="Arial" w:hAnsi="Arial" w:cs="Arial"/>
          <w:lang w:val="fr-FR"/>
        </w:rPr>
      </w:pPr>
      <w:r w:rsidRPr="00FF7687">
        <w:rPr>
          <w:rFonts w:ascii="Arial" w:hAnsi="Arial" w:cs="Arial"/>
          <w:lang w:val="fr-FR"/>
        </w:rPr>
        <w:t>En outre, le projet de loi modernise également les autres modes de réalisation des garanties et introduit également des dispositions visant à clarifier les mesures d'exécution pour les actifs de nature particulière, tels que les parts ou actions d'organismes de placement collectif</w:t>
      </w:r>
      <w:r>
        <w:rPr>
          <w:rFonts w:ascii="Arial" w:hAnsi="Arial" w:cs="Arial"/>
          <w:lang w:val="fr-FR"/>
        </w:rPr>
        <w:t xml:space="preserve"> </w:t>
      </w:r>
      <w:r w:rsidRPr="00FF7687">
        <w:rPr>
          <w:rFonts w:ascii="Arial" w:hAnsi="Arial" w:cs="Arial"/>
          <w:lang w:val="fr-FR"/>
        </w:rPr>
        <w:t>ou les polices d'assurance.</w:t>
      </w:r>
    </w:p>
    <w:p w:rsidR="00895247" w:rsidRPr="00F826AC" w:rsidRDefault="00895247" w:rsidP="00495E9F">
      <w:pPr>
        <w:spacing w:after="0" w:line="240" w:lineRule="auto"/>
        <w:rPr>
          <w:rFonts w:ascii="Arial" w:hAnsi="Arial" w:cs="Arial"/>
          <w:iCs/>
        </w:rPr>
      </w:pPr>
    </w:p>
    <w:sectPr w:rsidR="00895247" w:rsidRPr="00F826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D84" w:rsidRDefault="00EE4D84" w:rsidP="006E6CEA">
      <w:pPr>
        <w:spacing w:after="0" w:line="240" w:lineRule="auto"/>
      </w:pPr>
      <w:r>
        <w:separator/>
      </w:r>
    </w:p>
  </w:endnote>
  <w:endnote w:type="continuationSeparator" w:id="0">
    <w:p w:rsidR="00EE4D84" w:rsidRDefault="00EE4D84"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Pr="00B666AC" w:rsidRDefault="006E6CEA">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00AF58E0" w:rsidRPr="00AF58E0">
      <w:rPr>
        <w:rFonts w:ascii="Arial" w:hAnsi="Arial" w:cs="Arial"/>
        <w:noProof/>
        <w:sz w:val="20"/>
        <w:szCs w:val="20"/>
        <w:lang w:val="fr-FR"/>
      </w:rPr>
      <w:t>1</w:t>
    </w:r>
    <w:r w:rsidRPr="00B666AC">
      <w:rPr>
        <w:rFonts w:ascii="Arial" w:hAnsi="Arial" w:cs="Arial"/>
        <w:sz w:val="20"/>
        <w:szCs w:val="20"/>
      </w:rP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D84" w:rsidRDefault="00EE4D84" w:rsidP="006E6CEA">
      <w:pPr>
        <w:spacing w:after="0" w:line="240" w:lineRule="auto"/>
      </w:pPr>
      <w:r>
        <w:separator/>
      </w:r>
    </w:p>
  </w:footnote>
  <w:footnote w:type="continuationSeparator" w:id="0">
    <w:p w:rsidR="00EE4D84" w:rsidRDefault="00EE4D84"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C6E"/>
    <w:multiLevelType w:val="multilevel"/>
    <w:tmpl w:val="AE2E88C8"/>
    <w:numStyleLink w:val="APL"/>
  </w:abstractNum>
  <w:abstractNum w:abstractNumId="1" w15:restartNumberingAfterBreak="0">
    <w:nsid w:val="02D26C29"/>
    <w:multiLevelType w:val="multilevel"/>
    <w:tmpl w:val="649C2B22"/>
    <w:lvl w:ilvl="0">
      <w:start w:val="1"/>
      <w:numFmt w:val="decimal"/>
      <w:lvlText w:val="%1°"/>
      <w:lvlJc w:val="left"/>
      <w:pPr>
        <w:ind w:left="1531" w:hanging="737"/>
      </w:pPr>
      <w:rPr>
        <w:rFonts w:hint="default"/>
        <w:b w:val="0"/>
        <w:lang w:val="fr-LU"/>
      </w:rPr>
    </w:lvl>
    <w:lvl w:ilvl="1">
      <w:start w:val="1"/>
      <w:numFmt w:val="lowerLetter"/>
      <w:lvlText w:val="%2)"/>
      <w:lvlJc w:val="left"/>
      <w:pPr>
        <w:ind w:left="1531" w:hanging="397"/>
      </w:pPr>
      <w:rPr>
        <w:rFonts w:hint="default"/>
        <w:lang w:val="fr-FR"/>
      </w:rPr>
    </w:lvl>
    <w:lvl w:ilvl="2">
      <w:start w:val="1"/>
      <w:numFmt w:val="lowerLetter"/>
      <w:lvlText w:val="%3)"/>
      <w:lvlJc w:val="left"/>
      <w:pPr>
        <w:ind w:left="1871" w:hanging="34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041BB5"/>
    <w:multiLevelType w:val="hybridMultilevel"/>
    <w:tmpl w:val="BE8213CC"/>
    <w:lvl w:ilvl="0" w:tplc="A1802A72">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8C6994"/>
    <w:multiLevelType w:val="hybridMultilevel"/>
    <w:tmpl w:val="0E68ED10"/>
    <w:lvl w:ilvl="0" w:tplc="49884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980CF5"/>
    <w:multiLevelType w:val="hybridMultilevel"/>
    <w:tmpl w:val="A00442F0"/>
    <w:lvl w:ilvl="0" w:tplc="4BD48EBE">
      <w:start w:val="1"/>
      <w:numFmt w:val="bullet"/>
      <w:lvlText w:val=""/>
      <w:lvlJc w:val="left"/>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3127C"/>
    <w:multiLevelType w:val="multilevel"/>
    <w:tmpl w:val="6D2E1F42"/>
    <w:lvl w:ilvl="0">
      <w:start w:val="1"/>
      <w:numFmt w:val="decimal"/>
      <w:lvlText w:val="%1°"/>
      <w:lvlJc w:val="left"/>
      <w:pPr>
        <w:ind w:left="1531" w:hanging="737"/>
      </w:pPr>
      <w:rPr>
        <w:rFonts w:hint="default"/>
        <w:b w:val="0"/>
        <w:lang w:val="fr-LU"/>
      </w:rPr>
    </w:lvl>
    <w:lvl w:ilvl="1">
      <w:start w:val="1"/>
      <w:numFmt w:val="lowerLetter"/>
      <w:lvlText w:val="%2)"/>
      <w:lvlJc w:val="left"/>
      <w:rPr>
        <w:rFonts w:ascii="Arial" w:eastAsia="Calibri" w:hAnsi="Arial" w:cs="Arial"/>
        <w:lang w:val="fr-FR"/>
      </w:rPr>
    </w:lvl>
    <w:lvl w:ilvl="2">
      <w:start w:val="1"/>
      <w:numFmt w:val="lowerLetter"/>
      <w:lvlText w:val="%3)"/>
      <w:lvlJc w:val="left"/>
      <w:pPr>
        <w:ind w:left="1871" w:hanging="34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129D5253"/>
    <w:multiLevelType w:val="hybridMultilevel"/>
    <w:tmpl w:val="47805158"/>
    <w:lvl w:ilvl="0" w:tplc="F90E2C48">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194358E3"/>
    <w:multiLevelType w:val="multilevel"/>
    <w:tmpl w:val="AE2E88C8"/>
    <w:numStyleLink w:val="APL"/>
  </w:abstractNum>
  <w:abstractNum w:abstractNumId="8" w15:restartNumberingAfterBreak="0">
    <w:nsid w:val="1B6E75BE"/>
    <w:multiLevelType w:val="hybridMultilevel"/>
    <w:tmpl w:val="E13C4F14"/>
    <w:lvl w:ilvl="0" w:tplc="D95070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E031F44"/>
    <w:multiLevelType w:val="multilevel"/>
    <w:tmpl w:val="161CA946"/>
    <w:lvl w:ilvl="0">
      <w:start w:val="1"/>
      <w:numFmt w:val="decimal"/>
      <w:lvlText w:val="%1°"/>
      <w:lvlJc w:val="left"/>
      <w:pPr>
        <w:ind w:left="1418"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right"/>
      <w:pPr>
        <w:ind w:left="1531" w:firstLine="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0"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1EAA1973"/>
    <w:multiLevelType w:val="multilevel"/>
    <w:tmpl w:val="AE2E88C8"/>
    <w:numStyleLink w:val="APL"/>
  </w:abstractNum>
  <w:abstractNum w:abstractNumId="12" w15:restartNumberingAfterBreak="0">
    <w:nsid w:val="24C14163"/>
    <w:multiLevelType w:val="hybridMultilevel"/>
    <w:tmpl w:val="77B6E4D2"/>
    <w:lvl w:ilvl="0" w:tplc="C66463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72337B"/>
    <w:multiLevelType w:val="hybridMultilevel"/>
    <w:tmpl w:val="7B0E3878"/>
    <w:lvl w:ilvl="0" w:tplc="90F0C044">
      <w:start w:val="1"/>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B4A23"/>
    <w:multiLevelType w:val="multilevel"/>
    <w:tmpl w:val="621AE582"/>
    <w:lvl w:ilvl="0">
      <w:start w:val="1"/>
      <w:numFmt w:val="decimal"/>
      <w:lvlText w:val="%1°"/>
      <w:lvlJc w:val="left"/>
      <w:pPr>
        <w:ind w:left="1078" w:hanging="510"/>
      </w:pPr>
      <w:rPr>
        <w:rFonts w:hint="default"/>
        <w:b/>
      </w:rPr>
    </w:lvl>
    <w:lvl w:ilvl="1">
      <w:start w:val="1"/>
      <w:numFmt w:val="lowerLetter"/>
      <w:lvlText w:val="%2)"/>
      <w:lvlJc w:val="left"/>
      <w:pPr>
        <w:ind w:left="1418" w:hanging="454"/>
      </w:pPr>
      <w:rPr>
        <w:rFonts w:hint="default"/>
      </w:rPr>
    </w:lvl>
    <w:lvl w:ilvl="2">
      <w:start w:val="1"/>
      <w:numFmt w:val="lowerRoman"/>
      <w:lvlText w:val="%3)"/>
      <w:lvlJc w:val="right"/>
      <w:pPr>
        <w:ind w:left="1531" w:firstLine="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5" w15:restartNumberingAfterBreak="0">
    <w:nsid w:val="2959692F"/>
    <w:multiLevelType w:val="hybridMultilevel"/>
    <w:tmpl w:val="FD7E4FB8"/>
    <w:lvl w:ilvl="0" w:tplc="721AE4F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29851A9B"/>
    <w:multiLevelType w:val="hybridMultilevel"/>
    <w:tmpl w:val="2952B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B808F7"/>
    <w:multiLevelType w:val="hybridMultilevel"/>
    <w:tmpl w:val="0E68ED10"/>
    <w:lvl w:ilvl="0" w:tplc="49884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8E10D3"/>
    <w:multiLevelType w:val="hybridMultilevel"/>
    <w:tmpl w:val="93A8FC0C"/>
    <w:lvl w:ilvl="0" w:tplc="DB04A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1" w15:restartNumberingAfterBreak="0">
    <w:nsid w:val="424C26AD"/>
    <w:multiLevelType w:val="hybridMultilevel"/>
    <w:tmpl w:val="3404DDC8"/>
    <w:lvl w:ilvl="0" w:tplc="D1A8958C">
      <w:start w:val="1"/>
      <w:numFmt w:val="bullet"/>
      <w:lvlText w:val="-"/>
      <w:lvlJc w:val="left"/>
      <w:pPr>
        <w:ind w:left="2346" w:hanging="360"/>
      </w:pPr>
      <w:rPr>
        <w:rFonts w:ascii="Calibri" w:eastAsia="Calibri" w:hAnsi="Calibri" w:cs="Calibri" w:hint="default"/>
        <w:i/>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22" w15:restartNumberingAfterBreak="0">
    <w:nsid w:val="443A277A"/>
    <w:multiLevelType w:val="multilevel"/>
    <w:tmpl w:val="1D6AD590"/>
    <w:lvl w:ilvl="0">
      <w:start w:val="7"/>
      <w:numFmt w:val="decimal"/>
      <w:lvlText w:val="Art. %1."/>
      <w:lvlJc w:val="right"/>
      <w:pPr>
        <w:ind w:left="567" w:hanging="113"/>
      </w:pPr>
      <w:rPr>
        <w:rFonts w:ascii="Arial" w:hAnsi="Arial" w:hint="default"/>
        <w:b/>
        <w:sz w:val="22"/>
      </w:rPr>
    </w:lvl>
    <w:lvl w:ilvl="1">
      <w:start w:val="1"/>
      <w:numFmt w:val="decimal"/>
      <w:lvlText w:val="%2°"/>
      <w:lvlJc w:val="left"/>
      <w:pPr>
        <w:ind w:left="908" w:hanging="341"/>
      </w:pPr>
      <w:rPr>
        <w:rFonts w:hint="default"/>
        <w:b w:val="0"/>
      </w:rPr>
    </w:lvl>
    <w:lvl w:ilvl="2">
      <w:start w:val="2"/>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3" w15:restartNumberingAfterBreak="0">
    <w:nsid w:val="44D27ED7"/>
    <w:multiLevelType w:val="multilevel"/>
    <w:tmpl w:val="161CA946"/>
    <w:lvl w:ilvl="0">
      <w:start w:val="1"/>
      <w:numFmt w:val="decimal"/>
      <w:lvlText w:val="%1°"/>
      <w:lvlJc w:val="left"/>
      <w:pPr>
        <w:ind w:left="1418"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right"/>
      <w:pPr>
        <w:ind w:left="1531" w:firstLine="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4" w15:restartNumberingAfterBreak="0">
    <w:nsid w:val="49E34980"/>
    <w:multiLevelType w:val="hybridMultilevel"/>
    <w:tmpl w:val="BE0EA6F8"/>
    <w:lvl w:ilvl="0" w:tplc="E7E6E63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25"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E6707F8"/>
    <w:multiLevelType w:val="hybridMultilevel"/>
    <w:tmpl w:val="2C1EE0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791BAA"/>
    <w:multiLevelType w:val="hybridMultilevel"/>
    <w:tmpl w:val="FC865860"/>
    <w:lvl w:ilvl="0" w:tplc="E58CE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55755D"/>
    <w:multiLevelType w:val="multilevel"/>
    <w:tmpl w:val="161CA946"/>
    <w:lvl w:ilvl="0">
      <w:start w:val="1"/>
      <w:numFmt w:val="decimal"/>
      <w:lvlText w:val="%1°"/>
      <w:lvlJc w:val="left"/>
      <w:pPr>
        <w:ind w:left="1418"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right"/>
      <w:pPr>
        <w:ind w:left="1531" w:firstLine="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30"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2D7EE0"/>
    <w:multiLevelType w:val="hybridMultilevel"/>
    <w:tmpl w:val="F6EA0BE8"/>
    <w:lvl w:ilvl="0" w:tplc="1B92F9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F9F24AA"/>
    <w:multiLevelType w:val="multilevel"/>
    <w:tmpl w:val="AE2E88C8"/>
    <w:numStyleLink w:val="APL"/>
  </w:abstractNum>
  <w:abstractNum w:abstractNumId="33" w15:restartNumberingAfterBreak="0">
    <w:nsid w:val="6CF3641E"/>
    <w:multiLevelType w:val="multilevel"/>
    <w:tmpl w:val="161CA946"/>
    <w:lvl w:ilvl="0">
      <w:start w:val="1"/>
      <w:numFmt w:val="decimal"/>
      <w:lvlText w:val="%1°"/>
      <w:lvlJc w:val="left"/>
      <w:pPr>
        <w:ind w:left="1418"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right"/>
      <w:pPr>
        <w:ind w:left="1531" w:firstLine="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34"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15:restartNumberingAfterBreak="0">
    <w:nsid w:val="7089790E"/>
    <w:multiLevelType w:val="hybridMultilevel"/>
    <w:tmpl w:val="55146E00"/>
    <w:lvl w:ilvl="0" w:tplc="B1EE8E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70B93A4D"/>
    <w:multiLevelType w:val="multilevel"/>
    <w:tmpl w:val="99F285E4"/>
    <w:lvl w:ilvl="0">
      <w:start w:val="1"/>
      <w:numFmt w:val="decimal"/>
      <w:lvlText w:val="%1°"/>
      <w:lvlJc w:val="left"/>
      <w:pPr>
        <w:ind w:left="1531" w:hanging="737"/>
      </w:pPr>
      <w:rPr>
        <w:rFonts w:hint="default"/>
        <w:b w:val="0"/>
        <w:lang w:val="fr-LU"/>
      </w:rPr>
    </w:lvl>
    <w:lvl w:ilvl="1">
      <w:start w:val="1"/>
      <w:numFmt w:val="lowerLetter"/>
      <w:lvlText w:val="%2)"/>
      <w:lvlJc w:val="left"/>
      <w:pPr>
        <w:ind w:left="1531" w:hanging="397"/>
      </w:pPr>
      <w:rPr>
        <w:lang w:val="fr-FR"/>
      </w:rPr>
    </w:lvl>
    <w:lvl w:ilvl="2">
      <w:start w:val="1"/>
      <w:numFmt w:val="lowerLetter"/>
      <w:lvlText w:val="%3)"/>
      <w:lvlJc w:val="left"/>
      <w:pPr>
        <w:ind w:left="1871" w:hanging="34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730E2757"/>
    <w:multiLevelType w:val="hybridMultilevel"/>
    <w:tmpl w:val="8384C6F8"/>
    <w:lvl w:ilvl="0" w:tplc="31528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D44C41"/>
    <w:multiLevelType w:val="hybridMultilevel"/>
    <w:tmpl w:val="9ACAAA72"/>
    <w:lvl w:ilvl="0" w:tplc="9BF45BEC">
      <w:start w:val="1"/>
      <w:numFmt w:val="decimal"/>
      <w:lvlText w:val="(%1)"/>
      <w:lvlJc w:val="left"/>
      <w:pPr>
        <w:ind w:left="1778" w:hanging="360"/>
      </w:pPr>
      <w:rPr>
        <w:rFonts w:hint="default"/>
      </w:rPr>
    </w:lvl>
    <w:lvl w:ilvl="1" w:tplc="0409000F">
      <w:start w:val="1"/>
      <w:numFmt w:val="decimal"/>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0"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1" w15:restartNumberingAfterBreak="0">
    <w:nsid w:val="793409A2"/>
    <w:multiLevelType w:val="hybridMultilevel"/>
    <w:tmpl w:val="455A192E"/>
    <w:lvl w:ilvl="0" w:tplc="D64810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ED1516"/>
    <w:multiLevelType w:val="multilevel"/>
    <w:tmpl w:val="161CA946"/>
    <w:lvl w:ilvl="0">
      <w:start w:val="1"/>
      <w:numFmt w:val="decimal"/>
      <w:lvlText w:val="%1°"/>
      <w:lvlJc w:val="left"/>
      <w:pPr>
        <w:ind w:left="1418"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right"/>
      <w:pPr>
        <w:ind w:left="1531" w:firstLine="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43" w15:restartNumberingAfterBreak="0">
    <w:nsid w:val="7CAF1DE1"/>
    <w:multiLevelType w:val="multilevel"/>
    <w:tmpl w:val="161CA946"/>
    <w:lvl w:ilvl="0">
      <w:start w:val="1"/>
      <w:numFmt w:val="decimal"/>
      <w:lvlText w:val="%1°"/>
      <w:lvlJc w:val="left"/>
      <w:pPr>
        <w:ind w:left="1418"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right"/>
      <w:pPr>
        <w:ind w:left="1531" w:firstLine="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num w:numId="1">
    <w:abstractNumId w:val="34"/>
  </w:num>
  <w:num w:numId="2">
    <w:abstractNumId w:val="17"/>
  </w:num>
  <w:num w:numId="3">
    <w:abstractNumId w:val="26"/>
  </w:num>
  <w:num w:numId="4">
    <w:abstractNumId w:val="30"/>
  </w:num>
  <w:num w:numId="5">
    <w:abstractNumId w:val="25"/>
  </w:num>
  <w:num w:numId="6">
    <w:abstractNumId w:val="39"/>
  </w:num>
  <w:num w:numId="7">
    <w:abstractNumId w:val="40"/>
  </w:num>
  <w:num w:numId="8">
    <w:abstractNumId w:val="10"/>
  </w:num>
  <w:num w:numId="9">
    <w:abstractNumId w:val="20"/>
  </w:num>
  <w:num w:numId="10">
    <w:abstractNumId w:val="7"/>
    <w:lvlOverride w:ilvl="0">
      <w:lvl w:ilvl="0">
        <w:start w:val="2"/>
        <w:numFmt w:val="decimal"/>
        <w:lvlText w:val="Art. %1."/>
        <w:lvlJc w:val="right"/>
        <w:pPr>
          <w:ind w:left="567" w:hanging="113"/>
        </w:pPr>
        <w:rPr>
          <w:rFonts w:ascii="Arial" w:hAnsi="Arial" w:hint="default"/>
          <w:b w:val="0"/>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1">
    <w:abstractNumId w:val="32"/>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2">
    <w:abstractNumId w:val="11"/>
  </w:num>
  <w:num w:numId="13">
    <w:abstractNumId w:val="21"/>
  </w:num>
  <w:num w:numId="14">
    <w:abstractNumId w:val="22"/>
  </w:num>
  <w:num w:numId="15">
    <w:abstractNumId w:val="0"/>
  </w:num>
  <w:num w:numId="16">
    <w:abstractNumId w:val="24"/>
  </w:num>
  <w:num w:numId="17">
    <w:abstractNumId w:val="12"/>
  </w:num>
  <w:num w:numId="18">
    <w:abstractNumId w:val="27"/>
  </w:num>
  <w:num w:numId="19">
    <w:abstractNumId w:val="37"/>
  </w:num>
  <w:num w:numId="20">
    <w:abstractNumId w:val="38"/>
  </w:num>
  <w:num w:numId="21">
    <w:abstractNumId w:val="35"/>
  </w:num>
  <w:num w:numId="22">
    <w:abstractNumId w:val="41"/>
  </w:num>
  <w:num w:numId="23">
    <w:abstractNumId w:val="18"/>
  </w:num>
  <w:num w:numId="24">
    <w:abstractNumId w:val="2"/>
  </w:num>
  <w:num w:numId="25">
    <w:abstractNumId w:val="28"/>
  </w:num>
  <w:num w:numId="26">
    <w:abstractNumId w:val="15"/>
  </w:num>
  <w:num w:numId="27">
    <w:abstractNumId w:val="31"/>
  </w:num>
  <w:num w:numId="28">
    <w:abstractNumId w:val="42"/>
  </w:num>
  <w:num w:numId="29">
    <w:abstractNumId w:val="42"/>
    <w:lvlOverride w:ilvl="0">
      <w:lvl w:ilvl="0">
        <w:start w:val="1"/>
        <w:numFmt w:val="decimal"/>
        <w:lvlText w:val="%1°"/>
        <w:lvlJc w:val="left"/>
        <w:pPr>
          <w:ind w:left="1418" w:hanging="851"/>
        </w:pPr>
        <w:rPr>
          <w:rFonts w:hint="default"/>
        </w:rPr>
      </w:lvl>
    </w:lvlOverride>
    <w:lvlOverride w:ilvl="1">
      <w:lvl w:ilvl="1">
        <w:start w:val="1"/>
        <w:numFmt w:val="lowerLetter"/>
        <w:lvlText w:val="%2)"/>
        <w:lvlJc w:val="left"/>
        <w:pPr>
          <w:ind w:left="1418" w:hanging="567"/>
        </w:pPr>
        <w:rPr>
          <w:rFonts w:hint="default"/>
        </w:rPr>
      </w:lvl>
    </w:lvlOverride>
    <w:lvlOverride w:ilvl="2">
      <w:lvl w:ilvl="2">
        <w:start w:val="1"/>
        <w:numFmt w:val="lowerRoman"/>
        <w:lvlText w:val="%3)"/>
        <w:lvlJc w:val="right"/>
        <w:pPr>
          <w:ind w:left="1588" w:hanging="57"/>
        </w:pPr>
        <w:rPr>
          <w:rFonts w:hint="default"/>
        </w:rPr>
      </w:lvl>
    </w:lvlOverride>
    <w:lvlOverride w:ilvl="3">
      <w:lvl w:ilvl="3">
        <w:start w:val="1"/>
        <w:numFmt w:val="decimal"/>
        <w:lvlText w:val="%4."/>
        <w:lvlJc w:val="left"/>
        <w:pPr>
          <w:ind w:left="3306" w:hanging="360"/>
        </w:pPr>
        <w:rPr>
          <w:rFonts w:hint="default"/>
        </w:rPr>
      </w:lvl>
    </w:lvlOverride>
    <w:lvlOverride w:ilvl="4">
      <w:lvl w:ilvl="4">
        <w:start w:val="1"/>
        <w:numFmt w:val="lowerLetter"/>
        <w:lvlText w:val="%5."/>
        <w:lvlJc w:val="left"/>
        <w:pPr>
          <w:ind w:left="4026" w:hanging="360"/>
        </w:pPr>
        <w:rPr>
          <w:rFonts w:hint="default"/>
        </w:rPr>
      </w:lvl>
    </w:lvlOverride>
    <w:lvlOverride w:ilvl="5">
      <w:lvl w:ilvl="5">
        <w:start w:val="1"/>
        <w:numFmt w:val="lowerRoman"/>
        <w:lvlText w:val="%6."/>
        <w:lvlJc w:val="right"/>
        <w:pPr>
          <w:ind w:left="4746" w:hanging="180"/>
        </w:pPr>
        <w:rPr>
          <w:rFonts w:hint="default"/>
        </w:rPr>
      </w:lvl>
    </w:lvlOverride>
    <w:lvlOverride w:ilvl="6">
      <w:lvl w:ilvl="6">
        <w:start w:val="1"/>
        <w:numFmt w:val="decimal"/>
        <w:lvlText w:val="%7."/>
        <w:lvlJc w:val="left"/>
        <w:pPr>
          <w:ind w:left="5466" w:hanging="360"/>
        </w:pPr>
        <w:rPr>
          <w:rFonts w:hint="default"/>
        </w:rPr>
      </w:lvl>
    </w:lvlOverride>
    <w:lvlOverride w:ilvl="7">
      <w:lvl w:ilvl="7">
        <w:start w:val="1"/>
        <w:numFmt w:val="lowerLetter"/>
        <w:lvlText w:val="%8."/>
        <w:lvlJc w:val="left"/>
        <w:pPr>
          <w:ind w:left="6186" w:hanging="360"/>
        </w:pPr>
        <w:rPr>
          <w:rFonts w:hint="default"/>
        </w:rPr>
      </w:lvl>
    </w:lvlOverride>
    <w:lvlOverride w:ilvl="8">
      <w:lvl w:ilvl="8">
        <w:start w:val="1"/>
        <w:numFmt w:val="lowerRoman"/>
        <w:lvlText w:val="%9."/>
        <w:lvlJc w:val="right"/>
        <w:pPr>
          <w:ind w:left="6906" w:hanging="180"/>
        </w:pPr>
        <w:rPr>
          <w:rFonts w:hint="default"/>
        </w:rPr>
      </w:lvl>
    </w:lvlOverride>
  </w:num>
  <w:num w:numId="30">
    <w:abstractNumId w:val="29"/>
  </w:num>
  <w:num w:numId="31">
    <w:abstractNumId w:val="33"/>
  </w:num>
  <w:num w:numId="32">
    <w:abstractNumId w:val="9"/>
  </w:num>
  <w:num w:numId="33">
    <w:abstractNumId w:val="23"/>
  </w:num>
  <w:num w:numId="34">
    <w:abstractNumId w:val="43"/>
  </w:num>
  <w:num w:numId="35">
    <w:abstractNumId w:val="14"/>
  </w:num>
  <w:num w:numId="36">
    <w:abstractNumId w:val="16"/>
  </w:num>
  <w:num w:numId="37">
    <w:abstractNumId w:val="19"/>
  </w:num>
  <w:num w:numId="38">
    <w:abstractNumId w:val="3"/>
  </w:num>
  <w:num w:numId="39">
    <w:abstractNumId w:val="36"/>
  </w:num>
  <w:num w:numId="40">
    <w:abstractNumId w:val="36"/>
    <w:lvlOverride w:ilvl="0">
      <w:lvl w:ilvl="0">
        <w:start w:val="1"/>
        <w:numFmt w:val="decimal"/>
        <w:lvlText w:val="%1°"/>
        <w:lvlJc w:val="left"/>
        <w:pPr>
          <w:ind w:left="1531" w:hanging="737"/>
        </w:pPr>
        <w:rPr>
          <w:rFonts w:hint="default"/>
        </w:rPr>
      </w:lvl>
    </w:lvlOverride>
    <w:lvlOverride w:ilvl="1">
      <w:lvl w:ilvl="1">
        <w:start w:val="1"/>
        <w:numFmt w:val="lowerLetter"/>
        <w:lvlText w:val="%2)"/>
        <w:lvlJc w:val="left"/>
        <w:pPr>
          <w:ind w:left="1531" w:hanging="397"/>
        </w:pPr>
        <w:rPr>
          <w:rFonts w:hint="default"/>
        </w:rPr>
      </w:lvl>
    </w:lvlOverride>
    <w:lvlOverride w:ilvl="2">
      <w:lvl w:ilvl="2">
        <w:start w:val="1"/>
        <w:numFmt w:val="lowerRoman"/>
        <w:lvlText w:val="%3)"/>
        <w:lvlJc w:val="left"/>
        <w:pPr>
          <w:ind w:left="1871" w:hanging="34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41">
    <w:abstractNumId w:val="1"/>
  </w:num>
  <w:num w:numId="42">
    <w:abstractNumId w:val="5"/>
  </w:num>
  <w:num w:numId="43">
    <w:abstractNumId w:val="6"/>
  </w:num>
  <w:num w:numId="44">
    <w:abstractNumId w:val="4"/>
  </w:num>
  <w:num w:numId="45">
    <w:abstractNumId w:val="1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saveSubsetFonts/>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2D89"/>
    <w:rsid w:val="00014AC5"/>
    <w:rsid w:val="0002273C"/>
    <w:rsid w:val="00026ECB"/>
    <w:rsid w:val="00032612"/>
    <w:rsid w:val="000369A2"/>
    <w:rsid w:val="000762ED"/>
    <w:rsid w:val="00083561"/>
    <w:rsid w:val="000864BE"/>
    <w:rsid w:val="000A609C"/>
    <w:rsid w:val="000B6328"/>
    <w:rsid w:val="000C1546"/>
    <w:rsid w:val="000C45E8"/>
    <w:rsid w:val="000E235A"/>
    <w:rsid w:val="000F1E3E"/>
    <w:rsid w:val="000F5978"/>
    <w:rsid w:val="0010111B"/>
    <w:rsid w:val="00105955"/>
    <w:rsid w:val="00124094"/>
    <w:rsid w:val="00124AF3"/>
    <w:rsid w:val="00170E30"/>
    <w:rsid w:val="00173D6B"/>
    <w:rsid w:val="0018433C"/>
    <w:rsid w:val="00192479"/>
    <w:rsid w:val="001A6A33"/>
    <w:rsid w:val="001B6A4B"/>
    <w:rsid w:val="001C2ED4"/>
    <w:rsid w:val="001C6FBC"/>
    <w:rsid w:val="0022485B"/>
    <w:rsid w:val="00237C50"/>
    <w:rsid w:val="0027387E"/>
    <w:rsid w:val="002750A4"/>
    <w:rsid w:val="002851C5"/>
    <w:rsid w:val="002C7D3F"/>
    <w:rsid w:val="002F0ADB"/>
    <w:rsid w:val="002F28C2"/>
    <w:rsid w:val="002F3B16"/>
    <w:rsid w:val="00304830"/>
    <w:rsid w:val="0033142D"/>
    <w:rsid w:val="003350D0"/>
    <w:rsid w:val="003378B4"/>
    <w:rsid w:val="00354015"/>
    <w:rsid w:val="003C230F"/>
    <w:rsid w:val="003C40C7"/>
    <w:rsid w:val="003D681E"/>
    <w:rsid w:val="003F2C1C"/>
    <w:rsid w:val="003F5E23"/>
    <w:rsid w:val="00426CEF"/>
    <w:rsid w:val="00432C36"/>
    <w:rsid w:val="00457E34"/>
    <w:rsid w:val="004740F2"/>
    <w:rsid w:val="004826A7"/>
    <w:rsid w:val="00495E9F"/>
    <w:rsid w:val="004A1E95"/>
    <w:rsid w:val="004C6FDC"/>
    <w:rsid w:val="004F0ECD"/>
    <w:rsid w:val="00502BCC"/>
    <w:rsid w:val="00504169"/>
    <w:rsid w:val="00507D1C"/>
    <w:rsid w:val="005173D1"/>
    <w:rsid w:val="00531429"/>
    <w:rsid w:val="005868AB"/>
    <w:rsid w:val="005969DE"/>
    <w:rsid w:val="005A2AF3"/>
    <w:rsid w:val="005A5799"/>
    <w:rsid w:val="005A57B6"/>
    <w:rsid w:val="005B1EAF"/>
    <w:rsid w:val="005B5C56"/>
    <w:rsid w:val="005D3D76"/>
    <w:rsid w:val="00612ABB"/>
    <w:rsid w:val="00630E07"/>
    <w:rsid w:val="00633300"/>
    <w:rsid w:val="0064032F"/>
    <w:rsid w:val="00643905"/>
    <w:rsid w:val="006720BC"/>
    <w:rsid w:val="00680705"/>
    <w:rsid w:val="006829B8"/>
    <w:rsid w:val="006862A4"/>
    <w:rsid w:val="006B25FC"/>
    <w:rsid w:val="006D5C5B"/>
    <w:rsid w:val="006E6CEA"/>
    <w:rsid w:val="006F1000"/>
    <w:rsid w:val="0070037F"/>
    <w:rsid w:val="00705132"/>
    <w:rsid w:val="007265A3"/>
    <w:rsid w:val="007344C3"/>
    <w:rsid w:val="0073537F"/>
    <w:rsid w:val="0074285D"/>
    <w:rsid w:val="0074384E"/>
    <w:rsid w:val="00752348"/>
    <w:rsid w:val="00772B00"/>
    <w:rsid w:val="0078608E"/>
    <w:rsid w:val="007942C7"/>
    <w:rsid w:val="007C0AEF"/>
    <w:rsid w:val="007C160B"/>
    <w:rsid w:val="007D57D1"/>
    <w:rsid w:val="007F7448"/>
    <w:rsid w:val="00802625"/>
    <w:rsid w:val="00835FB4"/>
    <w:rsid w:val="008555EA"/>
    <w:rsid w:val="00860053"/>
    <w:rsid w:val="00860178"/>
    <w:rsid w:val="00861063"/>
    <w:rsid w:val="00866BFF"/>
    <w:rsid w:val="00885ED7"/>
    <w:rsid w:val="00895247"/>
    <w:rsid w:val="008A6669"/>
    <w:rsid w:val="008B23FC"/>
    <w:rsid w:val="008C2635"/>
    <w:rsid w:val="008D2E3F"/>
    <w:rsid w:val="008E2CEC"/>
    <w:rsid w:val="008E64E5"/>
    <w:rsid w:val="0092477B"/>
    <w:rsid w:val="009278CA"/>
    <w:rsid w:val="009321B5"/>
    <w:rsid w:val="009468E2"/>
    <w:rsid w:val="00955836"/>
    <w:rsid w:val="00957D98"/>
    <w:rsid w:val="009603F8"/>
    <w:rsid w:val="009870DC"/>
    <w:rsid w:val="009964F5"/>
    <w:rsid w:val="009C0799"/>
    <w:rsid w:val="009C6184"/>
    <w:rsid w:val="009D3856"/>
    <w:rsid w:val="00A11C57"/>
    <w:rsid w:val="00A349A8"/>
    <w:rsid w:val="00A35CE6"/>
    <w:rsid w:val="00A53E99"/>
    <w:rsid w:val="00A63AE6"/>
    <w:rsid w:val="00AA0D6B"/>
    <w:rsid w:val="00AA1189"/>
    <w:rsid w:val="00AB49F1"/>
    <w:rsid w:val="00AB4BF9"/>
    <w:rsid w:val="00AF58E0"/>
    <w:rsid w:val="00B03BD1"/>
    <w:rsid w:val="00B05660"/>
    <w:rsid w:val="00B204B5"/>
    <w:rsid w:val="00B63DA1"/>
    <w:rsid w:val="00B666AC"/>
    <w:rsid w:val="00BA11CD"/>
    <w:rsid w:val="00BB6D4C"/>
    <w:rsid w:val="00C00C43"/>
    <w:rsid w:val="00C05F8E"/>
    <w:rsid w:val="00C17363"/>
    <w:rsid w:val="00C24E93"/>
    <w:rsid w:val="00C51C4E"/>
    <w:rsid w:val="00C53B16"/>
    <w:rsid w:val="00C626D7"/>
    <w:rsid w:val="00C6352E"/>
    <w:rsid w:val="00C87372"/>
    <w:rsid w:val="00CE7012"/>
    <w:rsid w:val="00CE7957"/>
    <w:rsid w:val="00D00C76"/>
    <w:rsid w:val="00D17015"/>
    <w:rsid w:val="00D275F6"/>
    <w:rsid w:val="00D603A9"/>
    <w:rsid w:val="00D66486"/>
    <w:rsid w:val="00D752D4"/>
    <w:rsid w:val="00DB0A9D"/>
    <w:rsid w:val="00DD4091"/>
    <w:rsid w:val="00DF1CBB"/>
    <w:rsid w:val="00E02A9D"/>
    <w:rsid w:val="00E072B7"/>
    <w:rsid w:val="00E14DA9"/>
    <w:rsid w:val="00E15212"/>
    <w:rsid w:val="00E27073"/>
    <w:rsid w:val="00E34CC1"/>
    <w:rsid w:val="00E3772A"/>
    <w:rsid w:val="00E526B7"/>
    <w:rsid w:val="00E62A91"/>
    <w:rsid w:val="00E842D2"/>
    <w:rsid w:val="00E879C5"/>
    <w:rsid w:val="00E93021"/>
    <w:rsid w:val="00EA4E65"/>
    <w:rsid w:val="00EB2727"/>
    <w:rsid w:val="00EB4F9B"/>
    <w:rsid w:val="00EC6AD2"/>
    <w:rsid w:val="00ED2F34"/>
    <w:rsid w:val="00ED5FB0"/>
    <w:rsid w:val="00EE3E02"/>
    <w:rsid w:val="00EE4D84"/>
    <w:rsid w:val="00F1276A"/>
    <w:rsid w:val="00F15F71"/>
    <w:rsid w:val="00F16677"/>
    <w:rsid w:val="00F27547"/>
    <w:rsid w:val="00F4025E"/>
    <w:rsid w:val="00F60E44"/>
    <w:rsid w:val="00F81467"/>
    <w:rsid w:val="00F826AC"/>
    <w:rsid w:val="00F86666"/>
    <w:rsid w:val="00FC2511"/>
    <w:rsid w:val="00FD243A"/>
    <w:rsid w:val="00FD42D0"/>
    <w:rsid w:val="00FE1D6A"/>
    <w:rsid w:val="00FE3561"/>
    <w:rsid w:val="00FF1814"/>
    <w:rsid w:val="00FF76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685B16A-8349-446A-AD70-28315176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FF7687"/>
    <w:pPr>
      <w:keepNext/>
      <w:keepLines/>
      <w:spacing w:before="240" w:after="0" w:line="240" w:lineRule="auto"/>
      <w:outlineLvl w:val="0"/>
    </w:pPr>
    <w:rPr>
      <w:rFonts w:ascii="Calibri Light" w:eastAsia="DengXian Light" w:hAnsi="Calibri Light"/>
      <w:color w:val="2F5496"/>
      <w:sz w:val="32"/>
      <w:szCs w:val="32"/>
      <w:lang w:val="en-US"/>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unhideWhenUsed/>
    <w:rsid w:val="004A1E95"/>
    <w:rPr>
      <w:sz w:val="20"/>
      <w:szCs w:val="20"/>
    </w:rPr>
  </w:style>
  <w:style w:type="character" w:customStyle="1" w:styleId="CommentaireCar">
    <w:name w:val="Commentaire Car"/>
    <w:link w:val="Commentaire"/>
    <w:uiPriority w:val="99"/>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9"/>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aliases w:val="Footnote symbol"/>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Titre1Car">
    <w:name w:val="Titre 1 Car"/>
    <w:link w:val="Titre1"/>
    <w:uiPriority w:val="9"/>
    <w:rsid w:val="00FF7687"/>
    <w:rPr>
      <w:rFonts w:ascii="Calibri Light" w:eastAsia="DengXian Light" w:hAnsi="Calibri Light"/>
      <w:color w:val="2F5496"/>
      <w:sz w:val="32"/>
      <w:szCs w:val="32"/>
      <w:lang w:val="en-US" w:eastAsia="en-US"/>
    </w:rPr>
  </w:style>
  <w:style w:type="numbering" w:customStyle="1" w:styleId="Aucuneliste1">
    <w:name w:val="Aucune liste1"/>
    <w:next w:val="Aucuneliste"/>
    <w:uiPriority w:val="99"/>
    <w:semiHidden/>
    <w:unhideWhenUsed/>
    <w:rsid w:val="009C6184"/>
  </w:style>
  <w:style w:type="character" w:customStyle="1" w:styleId="hgkelc">
    <w:name w:val="hgkelc"/>
    <w:basedOn w:val="Policepardfaut"/>
    <w:rsid w:val="009C6184"/>
  </w:style>
  <w:style w:type="character" w:styleId="Marquedecommentaire">
    <w:name w:val="annotation reference"/>
    <w:uiPriority w:val="99"/>
    <w:semiHidden/>
    <w:unhideWhenUsed/>
    <w:rsid w:val="009C6184"/>
    <w:rPr>
      <w:sz w:val="16"/>
      <w:szCs w:val="16"/>
    </w:rPr>
  </w:style>
  <w:style w:type="paragraph" w:styleId="Textedebulles">
    <w:name w:val="Balloon Text"/>
    <w:basedOn w:val="Normal"/>
    <w:link w:val="TextedebullesCar"/>
    <w:uiPriority w:val="99"/>
    <w:semiHidden/>
    <w:unhideWhenUsed/>
    <w:rsid w:val="009C6184"/>
    <w:pPr>
      <w:spacing w:after="0" w:line="240" w:lineRule="auto"/>
    </w:pPr>
    <w:rPr>
      <w:rFonts w:ascii="Segoe UI" w:hAnsi="Segoe UI" w:cs="Segoe UI"/>
      <w:sz w:val="18"/>
      <w:szCs w:val="18"/>
      <w:lang w:val="en-US"/>
    </w:rPr>
  </w:style>
  <w:style w:type="character" w:customStyle="1" w:styleId="TextedebullesCar">
    <w:name w:val="Texte de bulles Car"/>
    <w:link w:val="Textedebulles"/>
    <w:uiPriority w:val="99"/>
    <w:semiHidden/>
    <w:rsid w:val="009C6184"/>
    <w:rPr>
      <w:rFonts w:ascii="Segoe UI" w:hAnsi="Segoe UI" w:cs="Segoe UI"/>
      <w:sz w:val="18"/>
      <w:szCs w:val="18"/>
      <w:lang w:val="en-US" w:eastAsia="en-US"/>
    </w:rPr>
  </w:style>
  <w:style w:type="paragraph" w:customStyle="1" w:styleId="oj-normal">
    <w:name w:val="oj-normal"/>
    <w:basedOn w:val="Normal"/>
    <w:rsid w:val="009C6184"/>
    <w:pPr>
      <w:spacing w:before="100" w:beforeAutospacing="1" w:after="100" w:afterAutospacing="1" w:line="240" w:lineRule="auto"/>
    </w:pPr>
    <w:rPr>
      <w:rFonts w:ascii="Times New Roman" w:eastAsia="Times New Roman" w:hAnsi="Times New Roman"/>
      <w:sz w:val="24"/>
      <w:szCs w:val="24"/>
      <w:lang w:val="en-US"/>
    </w:rPr>
  </w:style>
  <w:style w:type="paragraph" w:styleId="Rvision">
    <w:name w:val="Revision"/>
    <w:hidden/>
    <w:uiPriority w:val="99"/>
    <w:semiHidden/>
    <w:rsid w:val="009C6184"/>
    <w:rPr>
      <w:sz w:val="22"/>
      <w:szCs w:val="22"/>
      <w:lang w:val="en-US" w:eastAsia="en-US"/>
    </w:rPr>
  </w:style>
  <w:style w:type="character" w:customStyle="1" w:styleId="oj-super">
    <w:name w:val="oj-super"/>
    <w:basedOn w:val="Policepardfaut"/>
    <w:rsid w:val="009C6184"/>
  </w:style>
  <w:style w:type="paragraph" w:customStyle="1" w:styleId="Pa16">
    <w:name w:val="Pa16"/>
    <w:basedOn w:val="Default"/>
    <w:next w:val="Default"/>
    <w:uiPriority w:val="99"/>
    <w:rsid w:val="009C61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ascii="Times New Roman" w:eastAsia="Calibri" w:hAnsi="Times New Roman" w:cs="Times New Roman"/>
      <w:color w:val="auto"/>
      <w:bdr w:val="none" w:sz="0" w:space="0" w:color="auto"/>
      <w:lang w:val="en-US"/>
    </w:rPr>
  </w:style>
  <w:style w:type="paragraph" w:customStyle="1" w:styleId="Pa17">
    <w:name w:val="Pa17"/>
    <w:basedOn w:val="Default"/>
    <w:next w:val="Default"/>
    <w:uiPriority w:val="99"/>
    <w:rsid w:val="009C61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ascii="Times New Roman" w:eastAsia="Calibri" w:hAnsi="Times New Roman" w:cs="Times New Roman"/>
      <w:color w:val="auto"/>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70065-1EFB-4E35-9F49-F30E6815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3934</Characters>
  <Application>Microsoft Office Word</Application>
  <DocSecurity>4</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2024-02-21T07:59:00Z</dcterms:created>
  <dcterms:modified xsi:type="dcterms:W3CDTF">2024-02-21T07:59:00Z</dcterms:modified>
</cp:coreProperties>
</file>