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2A" w:rsidRPr="0064109F" w:rsidRDefault="003E492A" w:rsidP="00E1279D">
      <w:pPr>
        <w:pStyle w:val="Corps"/>
        <w:spacing w:after="0" w:line="240" w:lineRule="auto"/>
        <w:jc w:val="both"/>
        <w:rPr>
          <w:rStyle w:val="Aucun"/>
          <w:rFonts w:ascii="Arial" w:hAnsi="Arial" w:cs="Arial"/>
          <w:b/>
          <w:bCs/>
          <w:color w:val="auto"/>
          <w:u w:color="FF0000"/>
          <w:lang w:val="fr-FR"/>
        </w:rPr>
      </w:pPr>
      <w:bookmarkStart w:id="0" w:name="_GoBack"/>
      <w:bookmarkEnd w:id="0"/>
    </w:p>
    <w:p w:rsidR="000B068B" w:rsidRPr="0064109F" w:rsidRDefault="000B068B" w:rsidP="00E1279D">
      <w:pPr>
        <w:pStyle w:val="Corps"/>
        <w:spacing w:after="0" w:line="240" w:lineRule="auto"/>
        <w:jc w:val="both"/>
        <w:rPr>
          <w:rStyle w:val="Aucun"/>
          <w:rFonts w:ascii="Arial" w:hAnsi="Arial" w:cs="Arial"/>
          <w:b/>
          <w:bCs/>
          <w:color w:val="auto"/>
          <w:u w:color="FF0000"/>
          <w:lang w:val="fr-FR"/>
        </w:rPr>
      </w:pPr>
    </w:p>
    <w:p w:rsidR="003E492A" w:rsidRPr="009A34A8" w:rsidRDefault="00434577" w:rsidP="00E1279D">
      <w:pPr>
        <w:pStyle w:val="Corps"/>
        <w:spacing w:after="0" w:line="240" w:lineRule="auto"/>
        <w:jc w:val="center"/>
        <w:rPr>
          <w:rStyle w:val="Aucun"/>
          <w:rFonts w:ascii="Arial" w:hAnsi="Arial" w:cs="Arial"/>
          <w:b/>
          <w:bCs/>
          <w:lang w:val="fr-FR"/>
        </w:rPr>
      </w:pPr>
      <w:r w:rsidRPr="009A34A8">
        <w:rPr>
          <w:rStyle w:val="Aucun"/>
          <w:rFonts w:ascii="Arial" w:hAnsi="Arial" w:cs="Arial"/>
          <w:b/>
          <w:bCs/>
          <w:lang w:val="fr-FR"/>
        </w:rPr>
        <w:t>N</w:t>
      </w:r>
      <w:r w:rsidRPr="009A34A8">
        <w:rPr>
          <w:rStyle w:val="Aucun"/>
          <w:rFonts w:ascii="Arial" w:hAnsi="Arial" w:cs="Arial"/>
          <w:b/>
          <w:bCs/>
          <w:vertAlign w:val="superscript"/>
          <w:lang w:val="fr-FR"/>
        </w:rPr>
        <w:t>o</w:t>
      </w:r>
      <w:r w:rsidRPr="009A34A8">
        <w:rPr>
          <w:rStyle w:val="Aucun"/>
          <w:rFonts w:ascii="Arial" w:hAnsi="Arial" w:cs="Arial"/>
          <w:b/>
          <w:bCs/>
          <w:lang w:val="fr-FR"/>
        </w:rPr>
        <w:t xml:space="preserve"> 7</w:t>
      </w:r>
      <w:r w:rsidR="00E1279D" w:rsidRPr="009A34A8">
        <w:rPr>
          <w:rStyle w:val="Aucun"/>
          <w:rFonts w:ascii="Arial" w:hAnsi="Arial" w:cs="Arial"/>
          <w:b/>
          <w:bCs/>
          <w:lang w:val="fr-FR"/>
        </w:rPr>
        <w:t>5</w:t>
      </w:r>
      <w:r w:rsidR="00DE14E5" w:rsidRPr="009A34A8">
        <w:rPr>
          <w:rStyle w:val="Aucun"/>
          <w:rFonts w:ascii="Arial" w:hAnsi="Arial" w:cs="Arial"/>
          <w:b/>
          <w:bCs/>
          <w:lang w:val="fr-FR"/>
        </w:rPr>
        <w:t>75</w:t>
      </w:r>
    </w:p>
    <w:p w:rsidR="003E492A" w:rsidRPr="009A34A8" w:rsidRDefault="003E492A" w:rsidP="00E1279D">
      <w:pPr>
        <w:pStyle w:val="Corps"/>
        <w:tabs>
          <w:tab w:val="left" w:pos="4111"/>
          <w:tab w:val="left" w:pos="4536"/>
          <w:tab w:val="left" w:pos="4678"/>
        </w:tabs>
        <w:spacing w:after="0" w:line="240" w:lineRule="auto"/>
        <w:jc w:val="center"/>
        <w:rPr>
          <w:rStyle w:val="Aucun"/>
          <w:rFonts w:ascii="Arial" w:eastAsia="Arial" w:hAnsi="Arial" w:cs="Arial"/>
          <w:b/>
          <w:bCs/>
          <w:lang w:val="fr-FR"/>
        </w:rPr>
      </w:pPr>
    </w:p>
    <w:p w:rsidR="003E492A" w:rsidRPr="009A34A8" w:rsidRDefault="00434577" w:rsidP="00E1279D">
      <w:pPr>
        <w:pStyle w:val="Corps"/>
        <w:spacing w:after="0" w:line="240" w:lineRule="auto"/>
        <w:jc w:val="center"/>
        <w:rPr>
          <w:rStyle w:val="Aucun"/>
          <w:rFonts w:ascii="Arial" w:hAnsi="Arial" w:cs="Arial"/>
          <w:lang w:val="fr-FR"/>
        </w:rPr>
      </w:pPr>
      <w:r w:rsidRPr="009A34A8">
        <w:rPr>
          <w:rStyle w:val="Aucun"/>
          <w:rFonts w:ascii="Arial" w:hAnsi="Arial" w:cs="Arial"/>
          <w:lang w:val="fr-FR"/>
        </w:rPr>
        <w:t>CHAMBRE DES DEPUTES</w:t>
      </w:r>
    </w:p>
    <w:p w:rsidR="003E492A" w:rsidRPr="009A34A8" w:rsidRDefault="00434577" w:rsidP="00E1279D">
      <w:pPr>
        <w:pStyle w:val="Corps"/>
        <w:spacing w:after="0" w:line="240" w:lineRule="auto"/>
        <w:jc w:val="center"/>
        <w:rPr>
          <w:rStyle w:val="Aucun"/>
          <w:rFonts w:ascii="Arial" w:hAnsi="Arial" w:cs="Arial"/>
          <w:lang w:val="fr-FR"/>
        </w:rPr>
      </w:pPr>
      <w:r w:rsidRPr="009A34A8">
        <w:rPr>
          <w:rStyle w:val="Aucun"/>
          <w:rFonts w:ascii="Arial" w:hAnsi="Arial" w:cs="Arial"/>
          <w:lang w:val="fr-FR"/>
        </w:rPr>
        <w:t>Session ordinaire 20</w:t>
      </w:r>
      <w:r w:rsidR="00DE14E5" w:rsidRPr="009A34A8">
        <w:rPr>
          <w:rStyle w:val="Aucun"/>
          <w:rFonts w:ascii="Arial" w:hAnsi="Arial" w:cs="Arial"/>
          <w:lang w:val="fr-FR"/>
        </w:rPr>
        <w:t>2</w:t>
      </w:r>
      <w:r w:rsidR="00593F01" w:rsidRPr="009A34A8">
        <w:rPr>
          <w:rStyle w:val="Aucun"/>
          <w:rFonts w:ascii="Arial" w:hAnsi="Arial" w:cs="Arial"/>
          <w:lang w:val="fr-FR"/>
        </w:rPr>
        <w:t>1</w:t>
      </w:r>
      <w:r w:rsidRPr="009A34A8">
        <w:rPr>
          <w:rStyle w:val="Aucun"/>
          <w:rFonts w:ascii="Arial" w:hAnsi="Arial" w:cs="Arial"/>
          <w:lang w:val="fr-FR"/>
        </w:rPr>
        <w:t>- 202</w:t>
      </w:r>
      <w:r w:rsidR="00593F01" w:rsidRPr="009A34A8">
        <w:rPr>
          <w:rStyle w:val="Aucun"/>
          <w:rFonts w:ascii="Arial" w:hAnsi="Arial" w:cs="Arial"/>
          <w:lang w:val="fr-FR"/>
        </w:rPr>
        <w:t>2</w:t>
      </w:r>
    </w:p>
    <w:p w:rsidR="003E492A" w:rsidRPr="009A34A8" w:rsidRDefault="003E492A" w:rsidP="00E1279D">
      <w:pPr>
        <w:pStyle w:val="Corps"/>
        <w:pBdr>
          <w:bottom w:val="single" w:sz="12" w:space="0" w:color="000000"/>
        </w:pBdr>
        <w:spacing w:after="0" w:line="240" w:lineRule="auto"/>
        <w:jc w:val="center"/>
        <w:rPr>
          <w:rStyle w:val="Aucun"/>
          <w:rFonts w:ascii="Arial" w:eastAsia="Arial" w:hAnsi="Arial" w:cs="Arial"/>
          <w:lang w:val="fr-FR"/>
        </w:rPr>
      </w:pPr>
    </w:p>
    <w:p w:rsidR="003E492A" w:rsidRPr="009A34A8" w:rsidRDefault="003E492A" w:rsidP="00E1279D">
      <w:pPr>
        <w:pStyle w:val="Corps"/>
        <w:spacing w:after="0" w:line="240" w:lineRule="auto"/>
        <w:jc w:val="center"/>
        <w:rPr>
          <w:rStyle w:val="AucunA"/>
          <w:rFonts w:ascii="Arial" w:eastAsia="Arial" w:hAnsi="Arial" w:cs="Arial"/>
          <w:b/>
          <w:bCs/>
          <w:lang w:val="fr-FR"/>
        </w:rPr>
      </w:pPr>
    </w:p>
    <w:p w:rsidR="003E492A" w:rsidRPr="009A34A8" w:rsidRDefault="003E492A" w:rsidP="00E1279D">
      <w:pPr>
        <w:pStyle w:val="Corps"/>
        <w:spacing w:after="0" w:line="240" w:lineRule="auto"/>
        <w:jc w:val="center"/>
        <w:rPr>
          <w:rStyle w:val="AucunA"/>
          <w:rFonts w:ascii="Arial" w:eastAsia="Arial" w:hAnsi="Arial" w:cs="Arial"/>
          <w:b/>
          <w:bCs/>
          <w:lang w:val="fr-FR"/>
        </w:rPr>
      </w:pPr>
    </w:p>
    <w:p w:rsidR="00DE14E5" w:rsidRPr="009A34A8" w:rsidRDefault="00DE14E5" w:rsidP="00E1279D">
      <w:pPr>
        <w:pStyle w:val="Corps"/>
        <w:spacing w:after="0" w:line="240" w:lineRule="auto"/>
        <w:jc w:val="center"/>
        <w:rPr>
          <w:rStyle w:val="Aucun"/>
          <w:rFonts w:ascii="Arial" w:hAnsi="Arial" w:cs="Arial"/>
          <w:lang w:val="fr-FR"/>
        </w:rPr>
      </w:pPr>
      <w:r w:rsidRPr="009A34A8">
        <w:rPr>
          <w:rFonts w:ascii="Arial" w:hAnsi="Arial" w:cs="Arial"/>
          <w:b/>
          <w:bCs/>
          <w:lang w:val="fr-FR"/>
        </w:rPr>
        <w:t>Proposition de révision du chapitre VI. de la Constitution</w:t>
      </w:r>
      <w:r w:rsidRPr="009A34A8">
        <w:rPr>
          <w:rStyle w:val="Aucun"/>
          <w:rFonts w:ascii="Arial" w:hAnsi="Arial" w:cs="Arial"/>
          <w:lang w:val="fr-FR"/>
        </w:rPr>
        <w:t xml:space="preserve"> </w:t>
      </w:r>
    </w:p>
    <w:p w:rsidR="00DE14E5" w:rsidRPr="009A34A8" w:rsidRDefault="00DE14E5" w:rsidP="00E1279D">
      <w:pPr>
        <w:pStyle w:val="Corps"/>
        <w:spacing w:after="0" w:line="240" w:lineRule="auto"/>
        <w:jc w:val="center"/>
        <w:rPr>
          <w:rStyle w:val="Aucun"/>
          <w:rFonts w:ascii="Arial" w:hAnsi="Arial" w:cs="Arial"/>
          <w:lang w:val="fr-FR"/>
        </w:rPr>
      </w:pPr>
    </w:p>
    <w:p w:rsidR="003E492A" w:rsidRPr="009A34A8" w:rsidRDefault="00F6482A" w:rsidP="00E1279D">
      <w:pPr>
        <w:pStyle w:val="Corps"/>
        <w:spacing w:after="0" w:line="240" w:lineRule="auto"/>
        <w:jc w:val="center"/>
        <w:rPr>
          <w:rStyle w:val="Aucun"/>
          <w:rFonts w:ascii="Arial" w:hAnsi="Arial" w:cs="Arial"/>
          <w:lang w:val="fr-FR"/>
        </w:rPr>
      </w:pPr>
      <w:r>
        <w:rPr>
          <w:rStyle w:val="Aucun"/>
          <w:rFonts w:ascii="Arial" w:hAnsi="Arial" w:cs="Arial"/>
          <w:lang w:val="fr-FR"/>
        </w:rPr>
        <w:t>Résumé</w:t>
      </w:r>
    </w:p>
    <w:p w:rsidR="003E492A" w:rsidRPr="009A34A8" w:rsidRDefault="003E492A" w:rsidP="00E1279D">
      <w:pPr>
        <w:pStyle w:val="Corps"/>
        <w:spacing w:after="0" w:line="240" w:lineRule="auto"/>
        <w:jc w:val="both"/>
        <w:rPr>
          <w:rStyle w:val="AucunA"/>
          <w:rFonts w:ascii="Arial" w:hAnsi="Arial" w:cs="Arial"/>
          <w:lang w:val="fr-FR"/>
        </w:rPr>
      </w:pPr>
    </w:p>
    <w:p w:rsidR="003E492A" w:rsidRPr="009A34A8" w:rsidRDefault="003E492A" w:rsidP="00E1279D">
      <w:pPr>
        <w:pStyle w:val="Corps"/>
        <w:spacing w:after="0" w:line="240" w:lineRule="auto"/>
        <w:jc w:val="both"/>
        <w:rPr>
          <w:rStyle w:val="AucunA"/>
          <w:rFonts w:ascii="Arial" w:hAnsi="Arial" w:cs="Arial"/>
          <w:lang w:val="fr-FR"/>
        </w:rPr>
      </w:pPr>
    </w:p>
    <w:p w:rsidR="002A6589" w:rsidRPr="009A34A8" w:rsidRDefault="002A6589" w:rsidP="008E036E">
      <w:pPr>
        <w:pStyle w:val="Sansinterligne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A34A8">
        <w:rPr>
          <w:rFonts w:ascii="Arial" w:hAnsi="Arial" w:cs="Arial"/>
          <w:b/>
          <w:bCs/>
          <w:i/>
          <w:iCs/>
          <w:sz w:val="22"/>
          <w:szCs w:val="22"/>
        </w:rPr>
        <w:t xml:space="preserve">Contexte </w:t>
      </w:r>
    </w:p>
    <w:p w:rsidR="008E036E" w:rsidRPr="009A34A8" w:rsidRDefault="008E036E" w:rsidP="008E036E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9A34A8">
        <w:rPr>
          <w:rFonts w:ascii="Arial" w:hAnsi="Arial" w:cs="Arial"/>
          <w:sz w:val="22"/>
          <w:szCs w:val="22"/>
        </w:rPr>
        <w:t xml:space="preserve">La présente proposition </w:t>
      </w:r>
      <w:r w:rsidR="006900AD" w:rsidRPr="009A34A8">
        <w:rPr>
          <w:rFonts w:ascii="Arial" w:hAnsi="Arial" w:cs="Arial"/>
          <w:sz w:val="22"/>
          <w:szCs w:val="22"/>
        </w:rPr>
        <w:t xml:space="preserve">ayant trait au chapitre VI. de la Constitution intitulé « De la Justice » </w:t>
      </w:r>
      <w:r w:rsidRPr="009A34A8">
        <w:rPr>
          <w:rFonts w:ascii="Arial" w:hAnsi="Arial" w:cs="Arial"/>
          <w:sz w:val="22"/>
          <w:szCs w:val="22"/>
        </w:rPr>
        <w:t>constitue la première d’une série de propositions de révision en cours d’élaboration et qui, une fois qu’elles auront abouti, feront œuvre d</w:t>
      </w:r>
      <w:r w:rsidR="005209DE" w:rsidRPr="009A34A8">
        <w:rPr>
          <w:rFonts w:ascii="Arial" w:hAnsi="Arial" w:cs="Arial"/>
          <w:sz w:val="22"/>
          <w:szCs w:val="22"/>
        </w:rPr>
        <w:t>’un</w:t>
      </w:r>
      <w:r w:rsidRPr="009A34A8">
        <w:rPr>
          <w:rFonts w:ascii="Arial" w:hAnsi="Arial" w:cs="Arial"/>
          <w:sz w:val="22"/>
          <w:szCs w:val="22"/>
        </w:rPr>
        <w:t xml:space="preserve">e modernisation </w:t>
      </w:r>
      <w:r w:rsidR="005209DE" w:rsidRPr="009A34A8">
        <w:rPr>
          <w:rFonts w:ascii="Arial" w:hAnsi="Arial" w:cs="Arial"/>
          <w:sz w:val="22"/>
          <w:szCs w:val="22"/>
        </w:rPr>
        <w:t xml:space="preserve">par étapes </w:t>
      </w:r>
      <w:r w:rsidRPr="009A34A8">
        <w:rPr>
          <w:rFonts w:ascii="Arial" w:hAnsi="Arial" w:cs="Arial"/>
          <w:sz w:val="22"/>
          <w:szCs w:val="22"/>
        </w:rPr>
        <w:t xml:space="preserve">de la Constitution actuelle. </w:t>
      </w:r>
    </w:p>
    <w:p w:rsidR="00026281" w:rsidRPr="00026281" w:rsidRDefault="008E036E" w:rsidP="008E036E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9A34A8">
        <w:rPr>
          <w:rFonts w:ascii="Arial" w:hAnsi="Arial" w:cs="Arial"/>
          <w:sz w:val="22"/>
          <w:szCs w:val="22"/>
        </w:rPr>
        <w:t>En ce sens</w:t>
      </w:r>
      <w:r w:rsidR="003D3ACA">
        <w:rPr>
          <w:rFonts w:ascii="Arial" w:hAnsi="Arial" w:cs="Arial"/>
          <w:sz w:val="22"/>
          <w:szCs w:val="22"/>
        </w:rPr>
        <w:t>,</w:t>
      </w:r>
      <w:r w:rsidRPr="009A34A8">
        <w:rPr>
          <w:rFonts w:ascii="Arial" w:hAnsi="Arial" w:cs="Arial"/>
          <w:sz w:val="22"/>
          <w:szCs w:val="22"/>
        </w:rPr>
        <w:t xml:space="preserve"> l</w:t>
      </w:r>
      <w:r w:rsidR="002F688F">
        <w:rPr>
          <w:rFonts w:ascii="Arial" w:hAnsi="Arial" w:cs="Arial"/>
          <w:sz w:val="22"/>
          <w:szCs w:val="22"/>
        </w:rPr>
        <w:t>a</w:t>
      </w:r>
      <w:r w:rsidRPr="009A34A8">
        <w:rPr>
          <w:rFonts w:ascii="Arial" w:hAnsi="Arial" w:cs="Arial"/>
          <w:sz w:val="22"/>
          <w:szCs w:val="22"/>
        </w:rPr>
        <w:t xml:space="preserve"> présent</w:t>
      </w:r>
      <w:r w:rsidR="002F688F">
        <w:rPr>
          <w:rFonts w:ascii="Arial" w:hAnsi="Arial" w:cs="Arial"/>
          <w:sz w:val="22"/>
          <w:szCs w:val="22"/>
        </w:rPr>
        <w:t>e</w:t>
      </w:r>
      <w:r w:rsidRPr="009A34A8">
        <w:rPr>
          <w:rFonts w:ascii="Arial" w:hAnsi="Arial" w:cs="Arial"/>
          <w:sz w:val="22"/>
          <w:szCs w:val="22"/>
        </w:rPr>
        <w:t xml:space="preserve"> pro</w:t>
      </w:r>
      <w:r w:rsidR="002F688F">
        <w:rPr>
          <w:rFonts w:ascii="Arial" w:hAnsi="Arial" w:cs="Arial"/>
          <w:sz w:val="22"/>
          <w:szCs w:val="22"/>
        </w:rPr>
        <w:t>position</w:t>
      </w:r>
      <w:r w:rsidRPr="009A34A8">
        <w:rPr>
          <w:rFonts w:ascii="Arial" w:hAnsi="Arial" w:cs="Arial"/>
          <w:sz w:val="22"/>
          <w:szCs w:val="22"/>
        </w:rPr>
        <w:t xml:space="preserve"> se distingue de la proposition de révision n°6030 qui avait pour ambition d’écrire une Constitution entièrement nouvelle.</w:t>
      </w:r>
    </w:p>
    <w:p w:rsidR="008E036E" w:rsidRPr="009A34A8" w:rsidRDefault="008E036E" w:rsidP="008E036E">
      <w:pPr>
        <w:pStyle w:val="Sansinterligne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A34A8">
        <w:rPr>
          <w:rFonts w:ascii="Arial" w:hAnsi="Arial" w:cs="Arial"/>
          <w:b/>
          <w:bCs/>
          <w:i/>
          <w:iCs/>
          <w:sz w:val="22"/>
          <w:szCs w:val="22"/>
        </w:rPr>
        <w:t>Objet de la proposition de révision</w:t>
      </w:r>
    </w:p>
    <w:p w:rsidR="00672CA8" w:rsidRPr="009A34A8" w:rsidRDefault="00672CA8" w:rsidP="008E036E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9A34A8">
        <w:rPr>
          <w:rFonts w:ascii="Arial" w:hAnsi="Arial" w:cs="Arial"/>
          <w:sz w:val="22"/>
          <w:szCs w:val="22"/>
        </w:rPr>
        <w:t>La proposition de révision s’articule autour de plusieurs idées :</w:t>
      </w:r>
    </w:p>
    <w:p w:rsidR="0021442F" w:rsidRPr="009A34A8" w:rsidRDefault="00672CA8" w:rsidP="008E036E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9A34A8">
        <w:rPr>
          <w:rFonts w:ascii="Arial" w:hAnsi="Arial" w:cs="Arial"/>
          <w:sz w:val="22"/>
          <w:szCs w:val="22"/>
        </w:rPr>
        <w:t xml:space="preserve">- </w:t>
      </w:r>
      <w:r w:rsidR="005209DE" w:rsidRPr="009A34A8">
        <w:rPr>
          <w:rFonts w:ascii="Arial" w:hAnsi="Arial" w:cs="Arial"/>
          <w:sz w:val="22"/>
          <w:szCs w:val="22"/>
        </w:rPr>
        <w:t>insérer</w:t>
      </w:r>
      <w:r w:rsidRPr="009A34A8">
        <w:rPr>
          <w:rFonts w:ascii="Arial" w:hAnsi="Arial" w:cs="Arial"/>
          <w:sz w:val="22"/>
          <w:szCs w:val="22"/>
        </w:rPr>
        <w:t xml:space="preserve"> l’indépendance de la Justice </w:t>
      </w:r>
      <w:r w:rsidR="005209DE" w:rsidRPr="009A34A8">
        <w:rPr>
          <w:rFonts w:ascii="Arial" w:hAnsi="Arial" w:cs="Arial"/>
          <w:sz w:val="22"/>
          <w:szCs w:val="22"/>
        </w:rPr>
        <w:t xml:space="preserve">dans la Constitution </w:t>
      </w:r>
      <w:r w:rsidRPr="009A34A8">
        <w:rPr>
          <w:rFonts w:ascii="Arial" w:hAnsi="Arial" w:cs="Arial"/>
          <w:sz w:val="22"/>
          <w:szCs w:val="22"/>
        </w:rPr>
        <w:t>via la consécration d’un statut des magistrats</w:t>
      </w:r>
      <w:r w:rsidR="0021442F" w:rsidRPr="009A34A8">
        <w:rPr>
          <w:rFonts w:ascii="Arial" w:hAnsi="Arial" w:cs="Arial"/>
          <w:sz w:val="22"/>
          <w:szCs w:val="22"/>
        </w:rPr>
        <w:t>,</w:t>
      </w:r>
    </w:p>
    <w:p w:rsidR="00672CA8" w:rsidRPr="009A34A8" w:rsidRDefault="0021442F" w:rsidP="008E036E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9A34A8">
        <w:rPr>
          <w:rFonts w:ascii="Arial" w:hAnsi="Arial" w:cs="Arial"/>
          <w:sz w:val="22"/>
          <w:szCs w:val="22"/>
        </w:rPr>
        <w:t xml:space="preserve">- </w:t>
      </w:r>
      <w:r w:rsidR="005209DE" w:rsidRPr="009A34A8">
        <w:rPr>
          <w:rFonts w:ascii="Arial" w:hAnsi="Arial" w:cs="Arial"/>
          <w:sz w:val="22"/>
          <w:szCs w:val="22"/>
        </w:rPr>
        <w:t xml:space="preserve">instituer </w:t>
      </w:r>
      <w:r w:rsidR="00672CA8" w:rsidRPr="009A34A8">
        <w:rPr>
          <w:rFonts w:ascii="Arial" w:hAnsi="Arial" w:cs="Arial"/>
          <w:sz w:val="22"/>
          <w:szCs w:val="22"/>
        </w:rPr>
        <w:t xml:space="preserve">un Conseil national de la </w:t>
      </w:r>
      <w:r w:rsidR="00FF318B" w:rsidRPr="009A34A8">
        <w:rPr>
          <w:rFonts w:ascii="Arial" w:hAnsi="Arial" w:cs="Arial"/>
          <w:sz w:val="22"/>
          <w:szCs w:val="22"/>
        </w:rPr>
        <w:t>j</w:t>
      </w:r>
      <w:r w:rsidR="00672CA8" w:rsidRPr="009A34A8">
        <w:rPr>
          <w:rFonts w:ascii="Arial" w:hAnsi="Arial" w:cs="Arial"/>
          <w:sz w:val="22"/>
          <w:szCs w:val="22"/>
        </w:rPr>
        <w:t>ustice</w:t>
      </w:r>
      <w:r w:rsidR="00C2175A" w:rsidRPr="009A34A8">
        <w:rPr>
          <w:rFonts w:ascii="Arial" w:hAnsi="Arial" w:cs="Arial"/>
          <w:sz w:val="22"/>
          <w:szCs w:val="22"/>
        </w:rPr>
        <w:t xml:space="preserve">, </w:t>
      </w:r>
    </w:p>
    <w:p w:rsidR="001F5B74" w:rsidRPr="009A34A8" w:rsidRDefault="00C2175A" w:rsidP="008E036E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9A34A8">
        <w:rPr>
          <w:rFonts w:ascii="Arial" w:hAnsi="Arial" w:cs="Arial"/>
          <w:sz w:val="22"/>
          <w:szCs w:val="22"/>
        </w:rPr>
        <w:t>- regrouper dans une section unique les principales garanties du justiciable</w:t>
      </w:r>
      <w:r w:rsidR="005209DE" w:rsidRPr="009A34A8">
        <w:rPr>
          <w:rFonts w:ascii="Arial" w:hAnsi="Arial" w:cs="Arial"/>
          <w:sz w:val="22"/>
          <w:szCs w:val="22"/>
        </w:rPr>
        <w:t>, le principe de la présomption d’innocence</w:t>
      </w:r>
      <w:r w:rsidR="00845D6E" w:rsidRPr="009A34A8">
        <w:rPr>
          <w:rFonts w:ascii="Arial" w:hAnsi="Arial" w:cs="Arial"/>
          <w:sz w:val="22"/>
          <w:szCs w:val="22"/>
        </w:rPr>
        <w:t xml:space="preserve"> </w:t>
      </w:r>
      <w:r w:rsidR="005209DE" w:rsidRPr="009A34A8">
        <w:rPr>
          <w:rFonts w:ascii="Arial" w:hAnsi="Arial" w:cs="Arial"/>
          <w:sz w:val="22"/>
          <w:szCs w:val="22"/>
        </w:rPr>
        <w:t>étant consacré dans le chapitre</w:t>
      </w:r>
      <w:r w:rsidR="003D0809" w:rsidRPr="009A34A8">
        <w:rPr>
          <w:rFonts w:ascii="Arial" w:hAnsi="Arial" w:cs="Arial"/>
          <w:sz w:val="22"/>
          <w:szCs w:val="22"/>
        </w:rPr>
        <w:t xml:space="preserve"> II. – Des droits et libertés de la proposition de révision n°7755</w:t>
      </w:r>
      <w:r w:rsidR="001F5B74" w:rsidRPr="009A34A8">
        <w:rPr>
          <w:rFonts w:ascii="Arial" w:hAnsi="Arial" w:cs="Arial"/>
          <w:sz w:val="22"/>
          <w:szCs w:val="22"/>
        </w:rPr>
        <w:t>,</w:t>
      </w:r>
      <w:r w:rsidR="005209DE" w:rsidRPr="009A34A8">
        <w:rPr>
          <w:rFonts w:ascii="Arial" w:hAnsi="Arial" w:cs="Arial"/>
          <w:sz w:val="22"/>
          <w:szCs w:val="22"/>
        </w:rPr>
        <w:t xml:space="preserve"> </w:t>
      </w:r>
      <w:r w:rsidR="00845D6E" w:rsidRPr="009A34A8">
        <w:rPr>
          <w:rFonts w:ascii="Arial" w:hAnsi="Arial" w:cs="Arial"/>
          <w:sz w:val="22"/>
          <w:szCs w:val="22"/>
        </w:rPr>
        <w:t>et</w:t>
      </w:r>
    </w:p>
    <w:p w:rsidR="00C2175A" w:rsidRPr="009A34A8" w:rsidRDefault="00C2175A" w:rsidP="008E036E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9A34A8">
        <w:rPr>
          <w:rFonts w:ascii="Arial" w:hAnsi="Arial" w:cs="Arial"/>
          <w:sz w:val="22"/>
          <w:szCs w:val="22"/>
        </w:rPr>
        <w:t>- élargir les attributions de la Cour Constitutionnelle.</w:t>
      </w:r>
    </w:p>
    <w:p w:rsidR="00C2175A" w:rsidRPr="0064109F" w:rsidRDefault="00C2175A">
      <w:pPr>
        <w:rPr>
          <w:rStyle w:val="Aucun"/>
          <w:rFonts w:ascii="Arial" w:hAnsi="Arial" w:cs="Arial"/>
          <w:sz w:val="22"/>
          <w:szCs w:val="22"/>
          <w:lang w:val="fr-FR"/>
        </w:rPr>
      </w:pPr>
    </w:p>
    <w:p w:rsidR="00C2175A" w:rsidRPr="009A34A8" w:rsidRDefault="00C2175A" w:rsidP="00C2175A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9A34A8">
        <w:rPr>
          <w:rFonts w:ascii="Arial" w:hAnsi="Arial" w:cs="Arial"/>
          <w:sz w:val="22"/>
          <w:szCs w:val="22"/>
        </w:rPr>
        <w:t>Par rapport à la Constitution actuelle, le texte innove sur plusieurs points :</w:t>
      </w:r>
    </w:p>
    <w:p w:rsidR="00C2175A" w:rsidRPr="009A34A8" w:rsidRDefault="00C2175A" w:rsidP="00C2175A">
      <w:pPr>
        <w:pStyle w:val="Sansinterlign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9A34A8">
        <w:rPr>
          <w:rFonts w:ascii="Arial" w:hAnsi="Arial" w:cs="Arial"/>
          <w:sz w:val="22"/>
          <w:szCs w:val="22"/>
        </w:rPr>
        <w:t>De l’organisation de la Justice</w:t>
      </w:r>
    </w:p>
    <w:p w:rsidR="00C2175A" w:rsidRPr="009A34A8" w:rsidRDefault="00C2175A" w:rsidP="00C2175A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9A34A8">
        <w:rPr>
          <w:rFonts w:ascii="Arial" w:hAnsi="Arial" w:cs="Arial"/>
          <w:sz w:val="22"/>
          <w:szCs w:val="22"/>
        </w:rPr>
        <w:t xml:space="preserve">A l’instar des autres propositions de révision, le Constituant a choisi de consacrer dans le texte constitutionnel la notion de « pouvoir judiciaire », i.e. le pouvoir de rendre la justice, par opposition aux pouvoirs législatif et exécutif, </w:t>
      </w:r>
      <w:r w:rsidR="00B44980" w:rsidRPr="009A34A8">
        <w:rPr>
          <w:rFonts w:ascii="Arial" w:hAnsi="Arial" w:cs="Arial"/>
          <w:sz w:val="22"/>
          <w:szCs w:val="22"/>
        </w:rPr>
        <w:t>qui</w:t>
      </w:r>
      <w:r w:rsidRPr="009A34A8">
        <w:rPr>
          <w:rFonts w:ascii="Arial" w:hAnsi="Arial" w:cs="Arial"/>
          <w:sz w:val="22"/>
          <w:szCs w:val="22"/>
        </w:rPr>
        <w:t xml:space="preserve"> est exercé par les cours et tribunaux. </w:t>
      </w:r>
    </w:p>
    <w:p w:rsidR="00C2175A" w:rsidRPr="009A34A8" w:rsidRDefault="00C2175A" w:rsidP="00C2175A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9A34A8">
        <w:rPr>
          <w:rFonts w:ascii="Arial" w:hAnsi="Arial" w:cs="Arial"/>
          <w:sz w:val="22"/>
          <w:szCs w:val="22"/>
        </w:rPr>
        <w:t>Alors que l’organisation de l’appareil judiciaire en deux ordres juridictionnels est maintenue et que les deux ordres, judiciaire et administratif, continuent à évoluer sur un pied d’égalité bien que dans des sphères de compétence différentes, la Cour Constitutionnelle sera à l’avenir appelée à trancher d’éventuels conflits d’attributions.</w:t>
      </w:r>
    </w:p>
    <w:p w:rsidR="00C2175A" w:rsidRPr="009A34A8" w:rsidRDefault="00C2175A" w:rsidP="00C2175A">
      <w:pPr>
        <w:pStyle w:val="Sansinterlign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9A34A8">
        <w:rPr>
          <w:rFonts w:ascii="Arial" w:hAnsi="Arial" w:cs="Arial"/>
          <w:sz w:val="22"/>
          <w:szCs w:val="22"/>
        </w:rPr>
        <w:t>De l’indépendance de la Justice</w:t>
      </w:r>
    </w:p>
    <w:p w:rsidR="00C2175A" w:rsidRPr="009A34A8" w:rsidRDefault="00C2175A" w:rsidP="00C2175A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9A34A8">
        <w:rPr>
          <w:rFonts w:ascii="Arial" w:hAnsi="Arial" w:cs="Arial"/>
          <w:sz w:val="22"/>
          <w:szCs w:val="22"/>
        </w:rPr>
        <w:lastRenderedPageBreak/>
        <w:t xml:space="preserve">Cette indépendance est consacrée via la définition au niveau constitutionnel d’un statut des magistrats et renforcée à travers la création d’un Conseil national de la </w:t>
      </w:r>
      <w:r w:rsidR="00FF318B" w:rsidRPr="009A34A8">
        <w:rPr>
          <w:rFonts w:ascii="Arial" w:hAnsi="Arial" w:cs="Arial"/>
          <w:sz w:val="22"/>
          <w:szCs w:val="22"/>
        </w:rPr>
        <w:t>j</w:t>
      </w:r>
      <w:r w:rsidRPr="009A34A8">
        <w:rPr>
          <w:rFonts w:ascii="Arial" w:hAnsi="Arial" w:cs="Arial"/>
          <w:sz w:val="22"/>
          <w:szCs w:val="22"/>
        </w:rPr>
        <w:t xml:space="preserve">ustice lequel sera notamment appelé à intervenir dans la procédure de nomination </w:t>
      </w:r>
      <w:r w:rsidR="00C37ADB" w:rsidRPr="009A34A8">
        <w:rPr>
          <w:rFonts w:ascii="Arial" w:hAnsi="Arial" w:cs="Arial"/>
          <w:sz w:val="22"/>
          <w:szCs w:val="22"/>
        </w:rPr>
        <w:t xml:space="preserve">des magistrats </w:t>
      </w:r>
      <w:r w:rsidRPr="009A34A8">
        <w:rPr>
          <w:rFonts w:ascii="Arial" w:hAnsi="Arial" w:cs="Arial"/>
          <w:sz w:val="22"/>
          <w:szCs w:val="22"/>
        </w:rPr>
        <w:t>et dans les procédures disciplinaires dirigées contre ceux-ci.</w:t>
      </w:r>
    </w:p>
    <w:p w:rsidR="00C2175A" w:rsidRPr="009A34A8" w:rsidRDefault="00C2175A" w:rsidP="00C2175A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9A34A8">
        <w:rPr>
          <w:rFonts w:ascii="Arial" w:hAnsi="Arial" w:cs="Arial"/>
          <w:sz w:val="22"/>
          <w:szCs w:val="22"/>
        </w:rPr>
        <w:t xml:space="preserve">L’indépendance de la Justice a comme corollaire que le juge est inamovible. L’indépendance est par ailleurs strictement circonscrite aux fonctions juridictionnelles. Il s’agit donc à proprement parler d’une indépendance fonctionnelle. </w:t>
      </w:r>
    </w:p>
    <w:p w:rsidR="00C2175A" w:rsidRPr="009A34A8" w:rsidRDefault="00C2175A" w:rsidP="00C2175A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9A34A8">
        <w:rPr>
          <w:rFonts w:ascii="Arial" w:hAnsi="Arial" w:cs="Arial"/>
          <w:sz w:val="22"/>
          <w:szCs w:val="22"/>
        </w:rPr>
        <w:t xml:space="preserve">L’indépendance de la Justice implique également qu’il y ait une nette séparation entre la magistrature assise et le ministère public. </w:t>
      </w:r>
    </w:p>
    <w:p w:rsidR="00C2175A" w:rsidRPr="009A34A8" w:rsidRDefault="00C2175A" w:rsidP="00C2175A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9A34A8">
        <w:rPr>
          <w:rFonts w:ascii="Arial" w:hAnsi="Arial" w:cs="Arial"/>
          <w:sz w:val="22"/>
          <w:szCs w:val="22"/>
        </w:rPr>
        <w:t>L’indépendance de la Justice agit de manière variable. Appliqué</w:t>
      </w:r>
      <w:r w:rsidR="00307853">
        <w:rPr>
          <w:rFonts w:ascii="Arial" w:hAnsi="Arial" w:cs="Arial"/>
          <w:sz w:val="22"/>
          <w:szCs w:val="22"/>
        </w:rPr>
        <w:t>e</w:t>
      </w:r>
      <w:r w:rsidRPr="009A34A8">
        <w:rPr>
          <w:rFonts w:ascii="Arial" w:hAnsi="Arial" w:cs="Arial"/>
          <w:sz w:val="22"/>
          <w:szCs w:val="22"/>
        </w:rPr>
        <w:t xml:space="preserve"> au parquet</w:t>
      </w:r>
      <w:r w:rsidR="00307853">
        <w:rPr>
          <w:rFonts w:ascii="Arial" w:hAnsi="Arial" w:cs="Arial"/>
          <w:sz w:val="22"/>
          <w:szCs w:val="22"/>
        </w:rPr>
        <w:t>,</w:t>
      </w:r>
      <w:r w:rsidRPr="009A34A8">
        <w:rPr>
          <w:rFonts w:ascii="Arial" w:hAnsi="Arial" w:cs="Arial"/>
          <w:sz w:val="22"/>
          <w:szCs w:val="22"/>
        </w:rPr>
        <w:t xml:space="preserve"> elle n’a rien d’absolu. Le pouvoir politique doit en effet pouvoir formuler des directives de politique pénale à l’adresse du ministère public. </w:t>
      </w:r>
      <w:r w:rsidR="00B44980" w:rsidRPr="0064109F">
        <w:rPr>
          <w:rFonts w:ascii="Arial" w:hAnsi="Arial" w:cs="Arial"/>
          <w:i/>
          <w:iCs/>
          <w:sz w:val="22"/>
          <w:szCs w:val="22"/>
        </w:rPr>
        <w:t>In fine</w:t>
      </w:r>
      <w:r w:rsidR="00B44980" w:rsidRPr="009A34A8">
        <w:rPr>
          <w:rFonts w:ascii="Arial" w:hAnsi="Arial" w:cs="Arial"/>
          <w:sz w:val="22"/>
          <w:szCs w:val="22"/>
        </w:rPr>
        <w:t xml:space="preserve">, c’est aussi le Ministre de la Justice qui assumera la responsabilité politique. </w:t>
      </w:r>
    </w:p>
    <w:p w:rsidR="00B44980" w:rsidRPr="009A34A8" w:rsidRDefault="004B0530" w:rsidP="004B0530">
      <w:pPr>
        <w:pStyle w:val="Sansinterlign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9A34A8">
        <w:rPr>
          <w:rFonts w:ascii="Arial" w:hAnsi="Arial" w:cs="Arial"/>
          <w:sz w:val="22"/>
          <w:szCs w:val="22"/>
        </w:rPr>
        <w:t xml:space="preserve">Du Conseil national de la </w:t>
      </w:r>
      <w:r w:rsidR="00FF318B" w:rsidRPr="009A34A8">
        <w:rPr>
          <w:rFonts w:ascii="Arial" w:hAnsi="Arial" w:cs="Arial"/>
          <w:sz w:val="22"/>
          <w:szCs w:val="22"/>
        </w:rPr>
        <w:t>j</w:t>
      </w:r>
      <w:r w:rsidRPr="009A34A8">
        <w:rPr>
          <w:rFonts w:ascii="Arial" w:hAnsi="Arial" w:cs="Arial"/>
          <w:sz w:val="22"/>
          <w:szCs w:val="22"/>
        </w:rPr>
        <w:t>ustice</w:t>
      </w:r>
    </w:p>
    <w:p w:rsidR="004B0530" w:rsidRPr="009A34A8" w:rsidRDefault="004B0530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9A34A8">
        <w:rPr>
          <w:rFonts w:ascii="Arial" w:hAnsi="Arial" w:cs="Arial"/>
          <w:sz w:val="22"/>
          <w:szCs w:val="22"/>
        </w:rPr>
        <w:t xml:space="preserve">La consécration d’un tel organe est d’une importance fondamentale. Le Conseil national de la </w:t>
      </w:r>
      <w:r w:rsidR="00FF318B" w:rsidRPr="009A34A8">
        <w:rPr>
          <w:rFonts w:ascii="Arial" w:hAnsi="Arial" w:cs="Arial"/>
          <w:sz w:val="22"/>
          <w:szCs w:val="22"/>
        </w:rPr>
        <w:t>j</w:t>
      </w:r>
      <w:r w:rsidRPr="009A34A8">
        <w:rPr>
          <w:rFonts w:ascii="Arial" w:hAnsi="Arial" w:cs="Arial"/>
          <w:sz w:val="22"/>
          <w:szCs w:val="22"/>
        </w:rPr>
        <w:t xml:space="preserve">ustice aura pour mission de renforcer l’indépendance de la justice et sa transparence. Parmi ses compétences figure celle de proposer la nomination des magistrats. Il aura également un rôle à jouer dans la procédure disciplinaire </w:t>
      </w:r>
      <w:r w:rsidR="00FF318B" w:rsidRPr="009A34A8">
        <w:rPr>
          <w:rFonts w:ascii="Arial" w:hAnsi="Arial" w:cs="Arial"/>
          <w:sz w:val="22"/>
          <w:szCs w:val="22"/>
        </w:rPr>
        <w:t xml:space="preserve">engagée </w:t>
      </w:r>
      <w:r w:rsidRPr="009A34A8">
        <w:rPr>
          <w:rFonts w:ascii="Arial" w:hAnsi="Arial" w:cs="Arial"/>
          <w:sz w:val="22"/>
          <w:szCs w:val="22"/>
        </w:rPr>
        <w:t xml:space="preserve">à l’égard de ces derniers. </w:t>
      </w:r>
    </w:p>
    <w:p w:rsidR="00C2175A" w:rsidRPr="009A34A8" w:rsidRDefault="00C2175A" w:rsidP="00C2175A">
      <w:pPr>
        <w:pStyle w:val="Sansinterlign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9A34A8">
        <w:rPr>
          <w:rFonts w:ascii="Arial" w:hAnsi="Arial" w:cs="Arial"/>
          <w:sz w:val="22"/>
          <w:szCs w:val="22"/>
        </w:rPr>
        <w:t>Des garanties du justiciable</w:t>
      </w:r>
    </w:p>
    <w:p w:rsidR="00552D87" w:rsidRPr="009A34A8" w:rsidRDefault="00C2175A" w:rsidP="00C2175A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9A34A8">
        <w:rPr>
          <w:rFonts w:ascii="Arial" w:hAnsi="Arial" w:cs="Arial"/>
          <w:sz w:val="22"/>
          <w:szCs w:val="22"/>
        </w:rPr>
        <w:t xml:space="preserve">Une des nouveautés du dispositif constitutionnel futur constitue la consécration de garanties des justiciables dans le cadre des procès en justice. </w:t>
      </w:r>
    </w:p>
    <w:p w:rsidR="00C2175A" w:rsidRPr="009A34A8" w:rsidRDefault="00C2175A" w:rsidP="00C2175A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9A34A8">
        <w:rPr>
          <w:rFonts w:ascii="Arial" w:hAnsi="Arial" w:cs="Arial"/>
          <w:sz w:val="22"/>
          <w:szCs w:val="22"/>
        </w:rPr>
        <w:t>Si ces garanties se trouvent déjà à l’heure actuelle inscrite</w:t>
      </w:r>
      <w:r w:rsidR="00102833">
        <w:rPr>
          <w:rFonts w:ascii="Arial" w:hAnsi="Arial" w:cs="Arial"/>
          <w:sz w:val="22"/>
          <w:szCs w:val="22"/>
        </w:rPr>
        <w:t>s</w:t>
      </w:r>
      <w:r w:rsidRPr="009A34A8">
        <w:rPr>
          <w:rFonts w:ascii="Arial" w:hAnsi="Arial" w:cs="Arial"/>
          <w:sz w:val="22"/>
          <w:szCs w:val="22"/>
        </w:rPr>
        <w:t xml:space="preserve"> </w:t>
      </w:r>
      <w:r w:rsidR="00102833">
        <w:rPr>
          <w:rFonts w:ascii="Arial" w:hAnsi="Arial" w:cs="Arial"/>
          <w:sz w:val="22"/>
          <w:szCs w:val="22"/>
        </w:rPr>
        <w:t>-</w:t>
      </w:r>
      <w:r w:rsidRPr="009A34A8">
        <w:rPr>
          <w:rFonts w:ascii="Arial" w:hAnsi="Arial" w:cs="Arial"/>
          <w:sz w:val="22"/>
          <w:szCs w:val="22"/>
        </w:rPr>
        <w:t xml:space="preserve"> de manière éparpillée</w:t>
      </w:r>
      <w:r w:rsidR="00102833">
        <w:rPr>
          <w:rFonts w:ascii="Arial" w:hAnsi="Arial" w:cs="Arial"/>
          <w:sz w:val="22"/>
          <w:szCs w:val="22"/>
        </w:rPr>
        <w:t xml:space="preserve"> -</w:t>
      </w:r>
      <w:r w:rsidRPr="009A34A8">
        <w:rPr>
          <w:rFonts w:ascii="Arial" w:hAnsi="Arial" w:cs="Arial"/>
          <w:sz w:val="22"/>
          <w:szCs w:val="22"/>
        </w:rPr>
        <w:t xml:space="preserve"> dans la Constitution, elles sont désormais regroupée</w:t>
      </w:r>
      <w:r w:rsidR="00552D87" w:rsidRPr="009A34A8">
        <w:rPr>
          <w:rFonts w:ascii="Arial" w:hAnsi="Arial" w:cs="Arial"/>
          <w:sz w:val="22"/>
          <w:szCs w:val="22"/>
        </w:rPr>
        <w:t xml:space="preserve">s ce qui améliore </w:t>
      </w:r>
      <w:r w:rsidRPr="009A34A8">
        <w:rPr>
          <w:rFonts w:ascii="Arial" w:hAnsi="Arial" w:cs="Arial"/>
          <w:sz w:val="22"/>
          <w:szCs w:val="22"/>
        </w:rPr>
        <w:t>au</w:t>
      </w:r>
      <w:r w:rsidR="00552D87" w:rsidRPr="009A34A8">
        <w:rPr>
          <w:rFonts w:ascii="Arial" w:hAnsi="Arial" w:cs="Arial"/>
          <w:sz w:val="22"/>
          <w:szCs w:val="22"/>
        </w:rPr>
        <w:t xml:space="preserve"> demeurant</w:t>
      </w:r>
      <w:r w:rsidRPr="009A34A8">
        <w:rPr>
          <w:rFonts w:ascii="Arial" w:hAnsi="Arial" w:cs="Arial"/>
          <w:sz w:val="22"/>
          <w:szCs w:val="22"/>
        </w:rPr>
        <w:t xml:space="preserve"> la lisibilité du texte constitutionnel s’y rapportant. Il est à cet égard utile de rappeler que le</w:t>
      </w:r>
      <w:r w:rsidR="004B0530" w:rsidRPr="009A34A8">
        <w:rPr>
          <w:rFonts w:ascii="Arial" w:hAnsi="Arial" w:cs="Arial"/>
          <w:sz w:val="22"/>
          <w:szCs w:val="22"/>
        </w:rPr>
        <w:t xml:space="preserve"> chapitre II de la proposition de révision n°7755 complétera</w:t>
      </w:r>
      <w:r w:rsidRPr="009A34A8">
        <w:rPr>
          <w:rFonts w:ascii="Arial" w:hAnsi="Arial" w:cs="Arial"/>
          <w:sz w:val="22"/>
          <w:szCs w:val="22"/>
        </w:rPr>
        <w:t xml:space="preserve"> cette liste</w:t>
      </w:r>
      <w:r w:rsidR="00102833">
        <w:rPr>
          <w:rFonts w:ascii="Arial" w:hAnsi="Arial" w:cs="Arial"/>
          <w:sz w:val="22"/>
          <w:szCs w:val="22"/>
        </w:rPr>
        <w:t xml:space="preserve"> </w:t>
      </w:r>
      <w:r w:rsidRPr="009A34A8">
        <w:rPr>
          <w:rFonts w:ascii="Arial" w:hAnsi="Arial" w:cs="Arial"/>
          <w:sz w:val="22"/>
          <w:szCs w:val="22"/>
        </w:rPr>
        <w:t xml:space="preserve">avec notamment la consécration du principe de la légalité des peines, </w:t>
      </w:r>
      <w:r w:rsidR="00552D87" w:rsidRPr="009A34A8">
        <w:rPr>
          <w:rFonts w:ascii="Arial" w:hAnsi="Arial" w:cs="Arial"/>
          <w:sz w:val="22"/>
          <w:szCs w:val="22"/>
        </w:rPr>
        <w:t xml:space="preserve">voire </w:t>
      </w:r>
      <w:r w:rsidRPr="009A34A8">
        <w:rPr>
          <w:rFonts w:ascii="Arial" w:hAnsi="Arial" w:cs="Arial"/>
          <w:sz w:val="22"/>
          <w:szCs w:val="22"/>
        </w:rPr>
        <w:t xml:space="preserve">de la présomption d’innocence. </w:t>
      </w:r>
    </w:p>
    <w:p w:rsidR="00C2175A" w:rsidRPr="009A34A8" w:rsidRDefault="00C2175A" w:rsidP="001F5B74">
      <w:pPr>
        <w:pStyle w:val="Sansinterlign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9A34A8">
        <w:rPr>
          <w:rFonts w:ascii="Arial" w:hAnsi="Arial" w:cs="Arial"/>
          <w:sz w:val="22"/>
          <w:szCs w:val="22"/>
        </w:rPr>
        <w:t>De la Cour Constitutionnelle</w:t>
      </w:r>
    </w:p>
    <w:p w:rsidR="00C2175A" w:rsidRPr="009A34A8" w:rsidRDefault="00387441" w:rsidP="00C2175A">
      <w:pPr>
        <w:pStyle w:val="Sansinterligne"/>
        <w:jc w:val="both"/>
        <w:rPr>
          <w:rStyle w:val="AucunA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C2175A" w:rsidRPr="009A34A8">
        <w:rPr>
          <w:rFonts w:ascii="Arial" w:hAnsi="Arial" w:cs="Arial"/>
          <w:sz w:val="22"/>
          <w:szCs w:val="22"/>
        </w:rPr>
        <w:t xml:space="preserve"> appartiendra à l’avenir à la Cour Constitutionnelle de connaître des conflits d’attributions. </w:t>
      </w:r>
      <w:r w:rsidR="004B0530" w:rsidRPr="009A34A8">
        <w:rPr>
          <w:rFonts w:ascii="Arial" w:hAnsi="Arial" w:cs="Arial"/>
          <w:sz w:val="22"/>
          <w:szCs w:val="22"/>
        </w:rPr>
        <w:t>En outre,</w:t>
      </w:r>
      <w:r w:rsidR="00C2175A" w:rsidRPr="009A34A8">
        <w:rPr>
          <w:rFonts w:ascii="Arial" w:hAnsi="Arial" w:cs="Arial"/>
          <w:sz w:val="22"/>
          <w:szCs w:val="22"/>
        </w:rPr>
        <w:t xml:space="preserve"> une loi votée à la majorité qualifiée réunissant au moins les deux tiers des suffrages des membres de la Chambre des Députés pourra élargir les compétences de la Cour Constitutionnelle.</w:t>
      </w:r>
    </w:p>
    <w:p w:rsidR="0069493C" w:rsidRPr="009A34A8" w:rsidRDefault="0069493C" w:rsidP="0069493C">
      <w:pPr>
        <w:pStyle w:val="Paragraphedeliste"/>
        <w:spacing w:after="0" w:line="240" w:lineRule="auto"/>
        <w:ind w:left="1146"/>
        <w:jc w:val="both"/>
        <w:rPr>
          <w:rStyle w:val="Aucun"/>
          <w:rFonts w:ascii="Arial" w:hAnsi="Arial" w:cs="Arial"/>
          <w:b/>
          <w:bCs/>
        </w:rPr>
      </w:pPr>
    </w:p>
    <w:p w:rsidR="003E492A" w:rsidRPr="009A34A8" w:rsidRDefault="003E492A" w:rsidP="00E1279D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lang w:val="fr-FR"/>
        </w:rPr>
      </w:pPr>
    </w:p>
    <w:sectPr w:rsidR="003E492A" w:rsidRPr="009A34A8"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C33" w:rsidRDefault="00480C33">
      <w:r>
        <w:separator/>
      </w:r>
    </w:p>
  </w:endnote>
  <w:endnote w:type="continuationSeparator" w:id="0">
    <w:p w:rsidR="00480C33" w:rsidRDefault="0048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92A" w:rsidRDefault="00434577">
    <w:pPr>
      <w:pStyle w:val="Pieddepage"/>
      <w:tabs>
        <w:tab w:val="clear" w:pos="9072"/>
        <w:tab w:val="right" w:pos="9046"/>
      </w:tabs>
      <w:jc w:val="center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>
      <w:rPr>
        <w:rStyle w:val="Aucun"/>
      </w:rPr>
      <w:fldChar w:fldCharType="separate"/>
    </w:r>
    <w:r w:rsidR="008968C8">
      <w:rPr>
        <w:rStyle w:val="Aucun"/>
        <w:noProof/>
      </w:rPr>
      <w:t>1</w:t>
    </w:r>
    <w:r>
      <w:rPr>
        <w:rStyle w:val="Aucu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C33" w:rsidRDefault="00480C33">
      <w:r>
        <w:separator/>
      </w:r>
    </w:p>
  </w:footnote>
  <w:footnote w:type="continuationSeparator" w:id="0">
    <w:p w:rsidR="00480C33" w:rsidRDefault="00480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7B07"/>
    <w:multiLevelType w:val="hybridMultilevel"/>
    <w:tmpl w:val="A080F6C6"/>
    <w:lvl w:ilvl="0" w:tplc="047082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2234"/>
    <w:multiLevelType w:val="hybridMultilevel"/>
    <w:tmpl w:val="2DAEC49A"/>
    <w:lvl w:ilvl="0" w:tplc="C2F0200C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1C6455"/>
    <w:multiLevelType w:val="hybridMultilevel"/>
    <w:tmpl w:val="065C4BD2"/>
    <w:lvl w:ilvl="0" w:tplc="E662BC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B323F"/>
    <w:multiLevelType w:val="hybridMultilevel"/>
    <w:tmpl w:val="3BF81398"/>
    <w:numStyleLink w:val="Style1import"/>
  </w:abstractNum>
  <w:abstractNum w:abstractNumId="4" w15:restartNumberingAfterBreak="0">
    <w:nsid w:val="1BF83466"/>
    <w:multiLevelType w:val="hybridMultilevel"/>
    <w:tmpl w:val="3A1250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2134F"/>
    <w:multiLevelType w:val="hybridMultilevel"/>
    <w:tmpl w:val="D3E4653A"/>
    <w:styleLink w:val="Puces"/>
    <w:lvl w:ilvl="0" w:tplc="FC7CB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1" w:hanging="3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88DB78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C8F2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851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1815E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9CC75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7CD1F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F88DA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36A3F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B7C66DB"/>
    <w:multiLevelType w:val="hybridMultilevel"/>
    <w:tmpl w:val="A080F6C6"/>
    <w:lvl w:ilvl="0" w:tplc="047082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97083"/>
    <w:multiLevelType w:val="hybridMultilevel"/>
    <w:tmpl w:val="3BF81398"/>
    <w:styleLink w:val="Style1import"/>
    <w:lvl w:ilvl="0" w:tplc="2B6E719A">
      <w:start w:val="1"/>
      <w:numFmt w:val="upperRoman"/>
      <w:lvlText w:val="%1."/>
      <w:lvlJc w:val="left"/>
      <w:pPr>
        <w:tabs>
          <w:tab w:val="num" w:pos="801"/>
        </w:tabs>
        <w:ind w:left="813" w:hanging="38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37C6B76">
      <w:start w:val="1"/>
      <w:numFmt w:val="lowerLetter"/>
      <w:lvlText w:val="%2."/>
      <w:lvlJc w:val="left"/>
      <w:pPr>
        <w:tabs>
          <w:tab w:val="left" w:pos="674"/>
          <w:tab w:val="num" w:pos="1416"/>
        </w:tabs>
        <w:ind w:left="1428" w:hanging="34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F324DE8">
      <w:start w:val="1"/>
      <w:numFmt w:val="lowerRoman"/>
      <w:lvlText w:val="%3."/>
      <w:lvlJc w:val="left"/>
      <w:pPr>
        <w:tabs>
          <w:tab w:val="left" w:pos="674"/>
          <w:tab w:val="num" w:pos="2124"/>
        </w:tabs>
        <w:ind w:left="2136" w:hanging="2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DAA1E42">
      <w:start w:val="1"/>
      <w:numFmt w:val="decimal"/>
      <w:lvlText w:val="%4."/>
      <w:lvlJc w:val="left"/>
      <w:pPr>
        <w:tabs>
          <w:tab w:val="left" w:pos="674"/>
          <w:tab w:val="num" w:pos="2832"/>
        </w:tabs>
        <w:ind w:left="2844" w:hanging="32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2CAE73FA">
      <w:start w:val="1"/>
      <w:numFmt w:val="lowerLetter"/>
      <w:lvlText w:val="%5."/>
      <w:lvlJc w:val="left"/>
      <w:pPr>
        <w:tabs>
          <w:tab w:val="left" w:pos="674"/>
          <w:tab w:val="num" w:pos="3540"/>
        </w:tabs>
        <w:ind w:left="3552" w:hanging="31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F2A21BE">
      <w:start w:val="1"/>
      <w:numFmt w:val="lowerRoman"/>
      <w:lvlText w:val="%6."/>
      <w:lvlJc w:val="left"/>
      <w:pPr>
        <w:tabs>
          <w:tab w:val="left" w:pos="674"/>
          <w:tab w:val="num" w:pos="4248"/>
        </w:tabs>
        <w:ind w:left="4260" w:hanging="23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C5E57CA">
      <w:start w:val="1"/>
      <w:numFmt w:val="decimal"/>
      <w:lvlText w:val="%7."/>
      <w:lvlJc w:val="left"/>
      <w:pPr>
        <w:tabs>
          <w:tab w:val="left" w:pos="674"/>
          <w:tab w:val="num" w:pos="4956"/>
        </w:tabs>
        <w:ind w:left="4968" w:hanging="28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49F46532">
      <w:start w:val="1"/>
      <w:numFmt w:val="lowerLetter"/>
      <w:lvlText w:val="%8."/>
      <w:lvlJc w:val="left"/>
      <w:pPr>
        <w:tabs>
          <w:tab w:val="left" w:pos="674"/>
          <w:tab w:val="num" w:pos="5664"/>
        </w:tabs>
        <w:ind w:left="5676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67CE836">
      <w:start w:val="1"/>
      <w:numFmt w:val="lowerRoman"/>
      <w:suff w:val="nothing"/>
      <w:lvlText w:val="%9."/>
      <w:lvlJc w:val="left"/>
      <w:pPr>
        <w:tabs>
          <w:tab w:val="left" w:pos="674"/>
        </w:tabs>
        <w:ind w:left="6330" w:hanging="14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 w15:restartNumberingAfterBreak="0">
    <w:nsid w:val="40327C49"/>
    <w:multiLevelType w:val="hybridMultilevel"/>
    <w:tmpl w:val="404AB900"/>
    <w:lvl w:ilvl="0" w:tplc="4F82BEA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4D3525"/>
    <w:multiLevelType w:val="hybridMultilevel"/>
    <w:tmpl w:val="2F4A901A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E5810"/>
    <w:multiLevelType w:val="hybridMultilevel"/>
    <w:tmpl w:val="2DAEC49A"/>
    <w:lvl w:ilvl="0" w:tplc="C2F0200C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E0083E"/>
    <w:multiLevelType w:val="hybridMultilevel"/>
    <w:tmpl w:val="3BF81398"/>
    <w:lvl w:ilvl="0" w:tplc="C0A40D6E">
      <w:start w:val="1"/>
      <w:numFmt w:val="upperRoman"/>
      <w:lvlText w:val="%1."/>
      <w:lvlJc w:val="left"/>
      <w:pPr>
        <w:tabs>
          <w:tab w:val="num" w:pos="801"/>
        </w:tabs>
        <w:ind w:left="813" w:hanging="38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D240802">
      <w:start w:val="1"/>
      <w:numFmt w:val="lowerLetter"/>
      <w:lvlText w:val="%2."/>
      <w:lvlJc w:val="left"/>
      <w:pPr>
        <w:tabs>
          <w:tab w:val="left" w:pos="674"/>
          <w:tab w:val="num" w:pos="1416"/>
        </w:tabs>
        <w:ind w:left="1428" w:hanging="34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69C8F2A">
      <w:start w:val="1"/>
      <w:numFmt w:val="lowerRoman"/>
      <w:lvlText w:val="%3."/>
      <w:lvlJc w:val="left"/>
      <w:pPr>
        <w:tabs>
          <w:tab w:val="left" w:pos="674"/>
          <w:tab w:val="num" w:pos="2124"/>
        </w:tabs>
        <w:ind w:left="2136" w:hanging="2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A824F178">
      <w:start w:val="1"/>
      <w:numFmt w:val="decimal"/>
      <w:lvlText w:val="%4."/>
      <w:lvlJc w:val="left"/>
      <w:pPr>
        <w:tabs>
          <w:tab w:val="left" w:pos="674"/>
          <w:tab w:val="num" w:pos="2832"/>
        </w:tabs>
        <w:ind w:left="2844" w:hanging="32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186B530">
      <w:start w:val="1"/>
      <w:numFmt w:val="lowerLetter"/>
      <w:lvlText w:val="%5."/>
      <w:lvlJc w:val="left"/>
      <w:pPr>
        <w:tabs>
          <w:tab w:val="left" w:pos="674"/>
          <w:tab w:val="num" w:pos="3540"/>
        </w:tabs>
        <w:ind w:left="3552" w:hanging="31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D3C071A">
      <w:start w:val="1"/>
      <w:numFmt w:val="lowerRoman"/>
      <w:lvlText w:val="%6."/>
      <w:lvlJc w:val="left"/>
      <w:pPr>
        <w:tabs>
          <w:tab w:val="left" w:pos="674"/>
          <w:tab w:val="num" w:pos="4248"/>
        </w:tabs>
        <w:ind w:left="4260" w:hanging="23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0203D04">
      <w:start w:val="1"/>
      <w:numFmt w:val="decimal"/>
      <w:lvlText w:val="%7."/>
      <w:lvlJc w:val="left"/>
      <w:pPr>
        <w:tabs>
          <w:tab w:val="left" w:pos="674"/>
          <w:tab w:val="num" w:pos="4956"/>
        </w:tabs>
        <w:ind w:left="4968" w:hanging="28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100284EE">
      <w:start w:val="1"/>
      <w:numFmt w:val="lowerLetter"/>
      <w:lvlText w:val="%8."/>
      <w:lvlJc w:val="left"/>
      <w:pPr>
        <w:tabs>
          <w:tab w:val="left" w:pos="674"/>
          <w:tab w:val="num" w:pos="5664"/>
        </w:tabs>
        <w:ind w:left="5676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E889C98">
      <w:start w:val="1"/>
      <w:numFmt w:val="lowerRoman"/>
      <w:suff w:val="nothing"/>
      <w:lvlText w:val="%9."/>
      <w:lvlJc w:val="left"/>
      <w:pPr>
        <w:tabs>
          <w:tab w:val="left" w:pos="674"/>
        </w:tabs>
        <w:ind w:left="6330" w:hanging="14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2" w15:restartNumberingAfterBreak="0">
    <w:nsid w:val="529A1D9F"/>
    <w:multiLevelType w:val="multilevel"/>
    <w:tmpl w:val="38F0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002F4"/>
    <w:multiLevelType w:val="hybridMultilevel"/>
    <w:tmpl w:val="CDD059FE"/>
    <w:lvl w:ilvl="0" w:tplc="99A2492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F965AD5"/>
    <w:multiLevelType w:val="hybridMultilevel"/>
    <w:tmpl w:val="C618042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F41E7"/>
    <w:multiLevelType w:val="hybridMultilevel"/>
    <w:tmpl w:val="19A29DD4"/>
    <w:lvl w:ilvl="0" w:tplc="040C0019">
      <w:start w:val="1"/>
      <w:numFmt w:val="lowerLetter"/>
      <w:lvlText w:val="%1."/>
      <w:lvlJc w:val="left"/>
      <w:pPr>
        <w:ind w:left="1506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55BDA"/>
    <w:multiLevelType w:val="hybridMultilevel"/>
    <w:tmpl w:val="D3E4653A"/>
    <w:numStyleLink w:val="Puces"/>
  </w:abstractNum>
  <w:num w:numId="1">
    <w:abstractNumId w:val="7"/>
  </w:num>
  <w:num w:numId="2">
    <w:abstractNumId w:val="3"/>
  </w:num>
  <w:num w:numId="3">
    <w:abstractNumId w:val="3"/>
    <w:lvlOverride w:ilvl="0">
      <w:lvl w:ilvl="0" w:tplc="5AE8DE0E">
        <w:start w:val="1"/>
        <w:numFmt w:val="upperRoman"/>
        <w:lvlText w:val="%1."/>
        <w:lvlJc w:val="left"/>
        <w:pPr>
          <w:tabs>
            <w:tab w:val="num" w:pos="708"/>
          </w:tabs>
          <w:ind w:left="720" w:hanging="42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6EB712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18175C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89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5A2854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FC387C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84C494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260" w:hanging="25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7A3390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92584E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A47464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12" w:hanging="14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16"/>
  </w:num>
  <w:num w:numId="6">
    <w:abstractNumId w:val="3"/>
    <w:lvlOverride w:ilvl="0">
      <w:startOverride w:val="3"/>
      <w:lvl w:ilvl="0" w:tplc="5AE8DE0E">
        <w:start w:val="3"/>
        <w:numFmt w:val="upperRoman"/>
        <w:lvlText w:val="%1."/>
        <w:lvlJc w:val="left"/>
        <w:pPr>
          <w:tabs>
            <w:tab w:val="num" w:pos="708"/>
          </w:tabs>
          <w:ind w:left="720" w:hanging="42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A6EB712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918175C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89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95A2854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9FC387C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784C494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5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A7A3390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792584E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EA47464">
        <w:start w:val="1"/>
        <w:numFmt w:val="lowerRoman"/>
        <w:suff w:val="nothing"/>
        <w:lvlText w:val="%9."/>
        <w:lvlJc w:val="left"/>
        <w:pPr>
          <w:ind w:left="6312" w:hanging="14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13"/>
  </w:num>
  <w:num w:numId="9">
    <w:abstractNumId w:val="0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92A"/>
    <w:rsid w:val="00001797"/>
    <w:rsid w:val="000039F9"/>
    <w:rsid w:val="00011D32"/>
    <w:rsid w:val="00026281"/>
    <w:rsid w:val="00026672"/>
    <w:rsid w:val="00036ABE"/>
    <w:rsid w:val="00083804"/>
    <w:rsid w:val="00086545"/>
    <w:rsid w:val="00097984"/>
    <w:rsid w:val="000B068B"/>
    <w:rsid w:val="000B08CB"/>
    <w:rsid w:val="000C5757"/>
    <w:rsid w:val="000E3936"/>
    <w:rsid w:val="000E5B52"/>
    <w:rsid w:val="00102833"/>
    <w:rsid w:val="00105529"/>
    <w:rsid w:val="00142F8E"/>
    <w:rsid w:val="001A6767"/>
    <w:rsid w:val="001A67A6"/>
    <w:rsid w:val="001B319C"/>
    <w:rsid w:val="001E062C"/>
    <w:rsid w:val="001F5B74"/>
    <w:rsid w:val="0021442F"/>
    <w:rsid w:val="00217C6F"/>
    <w:rsid w:val="00225CCF"/>
    <w:rsid w:val="002279AC"/>
    <w:rsid w:val="00237925"/>
    <w:rsid w:val="00295576"/>
    <w:rsid w:val="002A6589"/>
    <w:rsid w:val="002B5EE2"/>
    <w:rsid w:val="002C3245"/>
    <w:rsid w:val="002D776F"/>
    <w:rsid w:val="002F688F"/>
    <w:rsid w:val="00307853"/>
    <w:rsid w:val="00325B1F"/>
    <w:rsid w:val="003712FB"/>
    <w:rsid w:val="00387441"/>
    <w:rsid w:val="003C7919"/>
    <w:rsid w:val="003D0809"/>
    <w:rsid w:val="003D3ACA"/>
    <w:rsid w:val="003E2A5A"/>
    <w:rsid w:val="003E492A"/>
    <w:rsid w:val="00431A60"/>
    <w:rsid w:val="004331AC"/>
    <w:rsid w:val="00434577"/>
    <w:rsid w:val="00442D99"/>
    <w:rsid w:val="00455429"/>
    <w:rsid w:val="00467875"/>
    <w:rsid w:val="00473B9F"/>
    <w:rsid w:val="00480C33"/>
    <w:rsid w:val="0048487B"/>
    <w:rsid w:val="004914A0"/>
    <w:rsid w:val="004A34D1"/>
    <w:rsid w:val="004A4F9A"/>
    <w:rsid w:val="004B0530"/>
    <w:rsid w:val="004C6FE3"/>
    <w:rsid w:val="004D70B2"/>
    <w:rsid w:val="004E47B0"/>
    <w:rsid w:val="004F17CD"/>
    <w:rsid w:val="004F4D9F"/>
    <w:rsid w:val="005209DE"/>
    <w:rsid w:val="0053345B"/>
    <w:rsid w:val="005337EC"/>
    <w:rsid w:val="00552D87"/>
    <w:rsid w:val="005564CC"/>
    <w:rsid w:val="00581BBE"/>
    <w:rsid w:val="00590920"/>
    <w:rsid w:val="00593F01"/>
    <w:rsid w:val="005A1B07"/>
    <w:rsid w:val="005C607A"/>
    <w:rsid w:val="005D7C71"/>
    <w:rsid w:val="0060058D"/>
    <w:rsid w:val="00606F1A"/>
    <w:rsid w:val="0064109F"/>
    <w:rsid w:val="00646972"/>
    <w:rsid w:val="00672CA8"/>
    <w:rsid w:val="00674EF6"/>
    <w:rsid w:val="0068412E"/>
    <w:rsid w:val="006900AD"/>
    <w:rsid w:val="0069493C"/>
    <w:rsid w:val="006A626D"/>
    <w:rsid w:val="006A76DB"/>
    <w:rsid w:val="006C15BE"/>
    <w:rsid w:val="006D080B"/>
    <w:rsid w:val="006E6ED8"/>
    <w:rsid w:val="006F460B"/>
    <w:rsid w:val="00725BDD"/>
    <w:rsid w:val="007432DD"/>
    <w:rsid w:val="007C51F7"/>
    <w:rsid w:val="00803B06"/>
    <w:rsid w:val="00813042"/>
    <w:rsid w:val="008161B3"/>
    <w:rsid w:val="00845D6E"/>
    <w:rsid w:val="00891622"/>
    <w:rsid w:val="008968C8"/>
    <w:rsid w:val="008976FF"/>
    <w:rsid w:val="008A7560"/>
    <w:rsid w:val="008B3D4F"/>
    <w:rsid w:val="008D3C14"/>
    <w:rsid w:val="008E036E"/>
    <w:rsid w:val="008E08BC"/>
    <w:rsid w:val="008E3DCB"/>
    <w:rsid w:val="009029C3"/>
    <w:rsid w:val="0091257E"/>
    <w:rsid w:val="00925414"/>
    <w:rsid w:val="00931F1C"/>
    <w:rsid w:val="00997353"/>
    <w:rsid w:val="009A34A8"/>
    <w:rsid w:val="009B4091"/>
    <w:rsid w:val="009E72B0"/>
    <w:rsid w:val="00A04E44"/>
    <w:rsid w:val="00A056B9"/>
    <w:rsid w:val="00A06A3B"/>
    <w:rsid w:val="00A06E37"/>
    <w:rsid w:val="00A307C3"/>
    <w:rsid w:val="00A73ED3"/>
    <w:rsid w:val="00A806FD"/>
    <w:rsid w:val="00AB1B65"/>
    <w:rsid w:val="00AE287C"/>
    <w:rsid w:val="00B44980"/>
    <w:rsid w:val="00B57249"/>
    <w:rsid w:val="00B60E0A"/>
    <w:rsid w:val="00B727A1"/>
    <w:rsid w:val="00BA4FE1"/>
    <w:rsid w:val="00BA5DE0"/>
    <w:rsid w:val="00C063D9"/>
    <w:rsid w:val="00C2175A"/>
    <w:rsid w:val="00C37ADB"/>
    <w:rsid w:val="00C81ABE"/>
    <w:rsid w:val="00CA26F8"/>
    <w:rsid w:val="00CB2B77"/>
    <w:rsid w:val="00CC4588"/>
    <w:rsid w:val="00CE0CE5"/>
    <w:rsid w:val="00CE4562"/>
    <w:rsid w:val="00D12E33"/>
    <w:rsid w:val="00D169D5"/>
    <w:rsid w:val="00D21482"/>
    <w:rsid w:val="00D47358"/>
    <w:rsid w:val="00D92B3E"/>
    <w:rsid w:val="00DA3E4F"/>
    <w:rsid w:val="00DB00A0"/>
    <w:rsid w:val="00DC6A91"/>
    <w:rsid w:val="00DE14E5"/>
    <w:rsid w:val="00DE3DDA"/>
    <w:rsid w:val="00E1279D"/>
    <w:rsid w:val="00E170F9"/>
    <w:rsid w:val="00E17516"/>
    <w:rsid w:val="00E17AE6"/>
    <w:rsid w:val="00E625B2"/>
    <w:rsid w:val="00E75E2F"/>
    <w:rsid w:val="00E7636A"/>
    <w:rsid w:val="00EE0BE9"/>
    <w:rsid w:val="00F00BD3"/>
    <w:rsid w:val="00F03956"/>
    <w:rsid w:val="00F22F94"/>
    <w:rsid w:val="00F30519"/>
    <w:rsid w:val="00F37690"/>
    <w:rsid w:val="00F57B25"/>
    <w:rsid w:val="00F6482A"/>
    <w:rsid w:val="00F9389E"/>
    <w:rsid w:val="00F93E10"/>
    <w:rsid w:val="00FA039F"/>
    <w:rsid w:val="00FD2F8B"/>
    <w:rsid w:val="00FF318B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B8E6C860-2C6E-41AF-A46D-5E65CADD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Titre4">
    <w:name w:val="heading 4"/>
    <w:uiPriority w:val="9"/>
    <w:unhideWhenUsed/>
    <w:qFormat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outlineLvl w:val="3"/>
    </w:pPr>
    <w:rPr>
      <w:rFonts w:ascii="Calibri" w:eastAsia="Calibri" w:hAnsi="Calibri" w:cs="Calibri"/>
      <w:color w:val="000000"/>
      <w:u w:color="000000"/>
      <w:bdr w:val="nil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  <w:lang w:eastAsia="fr-FR"/>
    </w:rPr>
  </w:style>
  <w:style w:type="paragraph" w:styleId="Pieddepage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FR" w:eastAsia="fr-FR"/>
    </w:rPr>
  </w:style>
  <w:style w:type="character" w:customStyle="1" w:styleId="Aucun">
    <w:name w:val="Aucun"/>
  </w:style>
  <w:style w:type="paragraph" w:customStyle="1" w:styleId="Corps">
    <w:name w:val="Corps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fr-FR"/>
    </w:rPr>
  </w:style>
  <w:style w:type="character" w:customStyle="1" w:styleId="AucunA">
    <w:name w:val="Aucun A"/>
    <w:basedOn w:val="Aucun"/>
  </w:style>
  <w:style w:type="paragraph" w:styleId="Textebrut">
    <w:name w:val="Plain Text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Courier New" w:hAnsi="Courier New" w:cs="Arial Unicode MS"/>
      <w:color w:val="000000"/>
      <w:u w:color="000000"/>
      <w:bdr w:val="nil"/>
      <w:lang w:val="fr-FR" w:eastAsia="fr-FR"/>
    </w:rPr>
  </w:style>
  <w:style w:type="paragraph" w:styleId="Paragraphedeliste">
    <w:name w:val="List Paragraph"/>
    <w:link w:val="ParagraphedelisteCar"/>
    <w:uiPriority w:val="34"/>
    <w:qFormat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FR" w:eastAsia="fr-FR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Sansinterligne">
    <w:name w:val="No Spacing"/>
    <w:uiPriority w:val="1"/>
    <w:qFormat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Times New Roman"/>
      <w:color w:val="000000"/>
      <w:u w:color="000000"/>
      <w:bdr w:val="nil"/>
      <w:lang w:val="fr-FR" w:eastAsia="fr-FR"/>
    </w:rPr>
  </w:style>
  <w:style w:type="paragraph" w:customStyle="1" w:styleId="PardfautA">
    <w:name w:val="Par défaut 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bdr w:val="nil"/>
      <w:lang w:val="fr-FR" w:eastAsia="fr-FR"/>
    </w:rPr>
  </w:style>
  <w:style w:type="numbering" w:customStyle="1" w:styleId="Puces">
    <w:name w:val="Puces"/>
    <w:pPr>
      <w:numPr>
        <w:numId w:val="4"/>
      </w:numPr>
    </w:pPr>
  </w:style>
  <w:style w:type="character" w:customStyle="1" w:styleId="Hyperlink0">
    <w:name w:val="Hyperlink.0"/>
    <w:rPr>
      <w:outline w:val="0"/>
      <w:color w:val="007DAD"/>
      <w:u w:val="single" w:color="007DA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9D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1279D"/>
    <w:rPr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E127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LU" w:eastAsia="fr-FR"/>
    </w:rPr>
  </w:style>
  <w:style w:type="paragraph" w:styleId="Rvision">
    <w:name w:val="Revision"/>
    <w:hidden/>
    <w:uiPriority w:val="99"/>
    <w:semiHidden/>
    <w:rsid w:val="00E1279D"/>
    <w:rPr>
      <w:sz w:val="24"/>
      <w:szCs w:val="24"/>
      <w:bdr w:val="nil"/>
      <w:lang w:val="en-US" w:eastAsia="en-US"/>
    </w:rPr>
  </w:style>
  <w:style w:type="paragraph" w:customStyle="1" w:styleId="Pa12">
    <w:name w:val="Pa12"/>
    <w:basedOn w:val="Normal"/>
    <w:next w:val="Normal"/>
    <w:uiPriority w:val="99"/>
    <w:rsid w:val="00DE14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01" w:lineRule="atLeast"/>
    </w:pPr>
    <w:rPr>
      <w:rFonts w:ascii="Swis721 BT" w:eastAsia="Times New Roman" w:hAnsi="Swis721 BT"/>
      <w:bdr w:val="none" w:sz="0" w:space="0" w:color="auto"/>
      <w:lang w:val="de-LU" w:eastAsia="de-DE"/>
    </w:rPr>
  </w:style>
  <w:style w:type="character" w:customStyle="1" w:styleId="apple-converted-space">
    <w:name w:val="apple-converted-space"/>
    <w:basedOn w:val="Policepardfaut"/>
    <w:rsid w:val="00E17AE6"/>
  </w:style>
  <w:style w:type="paragraph" w:styleId="Notedebasdepage">
    <w:name w:val="footnote text"/>
    <w:basedOn w:val="Normal"/>
    <w:link w:val="NotedebasdepageCar"/>
    <w:uiPriority w:val="99"/>
    <w:unhideWhenUsed/>
    <w:rsid w:val="006949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  <w:lang w:val="fr-LU"/>
    </w:rPr>
  </w:style>
  <w:style w:type="character" w:customStyle="1" w:styleId="NotedebasdepageCar">
    <w:name w:val="Note de bas de page Car"/>
    <w:link w:val="Notedebasdepage"/>
    <w:uiPriority w:val="99"/>
    <w:rsid w:val="0069493C"/>
    <w:rPr>
      <w:rFonts w:ascii="Calibri" w:eastAsia="Calibri" w:hAnsi="Calibri"/>
      <w:bdr w:val="none" w:sz="0" w:space="0" w:color="auto"/>
      <w:lang w:eastAsia="en-US"/>
    </w:rPr>
  </w:style>
  <w:style w:type="character" w:styleId="Appelnotedebasdep">
    <w:name w:val="footnote reference"/>
    <w:aliases w:val="Footnote symbol"/>
    <w:uiPriority w:val="99"/>
    <w:unhideWhenUsed/>
    <w:rsid w:val="0069493C"/>
    <w:rPr>
      <w:vertAlign w:val="superscript"/>
    </w:rPr>
  </w:style>
  <w:style w:type="character" w:customStyle="1" w:styleId="ParagraphedelisteCar">
    <w:name w:val="Paragraphe de liste Car"/>
    <w:link w:val="Paragraphedeliste"/>
    <w:uiPriority w:val="34"/>
    <w:rsid w:val="0053345B"/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character" w:customStyle="1" w:styleId="st">
    <w:name w:val="st"/>
    <w:rsid w:val="0053345B"/>
  </w:style>
  <w:style w:type="character" w:styleId="Accentuation">
    <w:name w:val="Emphasis"/>
    <w:uiPriority w:val="20"/>
    <w:qFormat/>
    <w:rsid w:val="0053345B"/>
    <w:rPr>
      <w:i/>
      <w:iCs/>
    </w:rPr>
  </w:style>
  <w:style w:type="table" w:styleId="Grilledutableau">
    <w:name w:val="Table Grid"/>
    <w:basedOn w:val="TableauNormal"/>
    <w:uiPriority w:val="39"/>
    <w:rsid w:val="00433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5809B-A72B-4579-B134-BF381F62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3608</Characters>
  <Application>Microsoft Office Word</Application>
  <DocSecurity>4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Neu</dc:creator>
  <cp:keywords/>
  <cp:lastModifiedBy>SYSTEM</cp:lastModifiedBy>
  <cp:revision>2</cp:revision>
  <cp:lastPrinted>2021-09-13T15:12:00Z</cp:lastPrinted>
  <dcterms:created xsi:type="dcterms:W3CDTF">2024-02-21T07:58:00Z</dcterms:created>
  <dcterms:modified xsi:type="dcterms:W3CDTF">2024-02-21T07:58:00Z</dcterms:modified>
</cp:coreProperties>
</file>