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04" w:rsidRPr="005239B5" w:rsidRDefault="00C95304" w:rsidP="00C95304">
      <w:pPr>
        <w:autoSpaceDE w:val="0"/>
        <w:autoSpaceDN w:val="0"/>
        <w:adjustRightInd w:val="0"/>
        <w:jc w:val="both"/>
        <w:rPr>
          <w:rFonts w:ascii="FFHGNA+Arial" w:hAnsi="FFHGNA+Arial" w:cs="FFHGNA+Arial"/>
          <w:color w:val="000000"/>
          <w:u w:val="single"/>
        </w:rPr>
      </w:pPr>
      <w:bookmarkStart w:id="0" w:name="_GoBack"/>
      <w:bookmarkEnd w:id="0"/>
      <w:r w:rsidRPr="005239B5">
        <w:rPr>
          <w:rFonts w:ascii="FFHGNA+Arial" w:hAnsi="FFHGNA+Arial" w:cs="FFHGNA+Arial"/>
          <w:color w:val="000000"/>
          <w:u w:val="single"/>
        </w:rPr>
        <w:t>Projet de loi : 5589</w:t>
      </w:r>
    </w:p>
    <w:p w:rsidR="00C95304" w:rsidRDefault="00C95304" w:rsidP="00C95304">
      <w:pPr>
        <w:rPr>
          <w:lang w:val="fr-LU"/>
        </w:rPr>
      </w:pPr>
    </w:p>
    <w:p w:rsidR="00C95304" w:rsidRPr="00F32313" w:rsidRDefault="00C95304" w:rsidP="00C95304">
      <w:pPr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Le projet de loi 5589 autorise l’Etat à </w:t>
      </w:r>
      <w:r w:rsidRPr="00F32313">
        <w:rPr>
          <w:rFonts w:ascii="Arial" w:eastAsia="SimSun" w:hAnsi="Arial" w:cs="Arial"/>
          <w:bCs/>
        </w:rPr>
        <w:t>acquérir les infrastructures ferroviaires et les terrains y relatifs appartenant aux différente</w:t>
      </w:r>
      <w:r>
        <w:rPr>
          <w:rFonts w:ascii="Arial" w:eastAsia="SimSun" w:hAnsi="Arial" w:cs="Arial"/>
          <w:bCs/>
        </w:rPr>
        <w:t xml:space="preserve">s sociétés du groupe Arcelor. Lesdits infrastructures et terrains sont </w:t>
      </w:r>
      <w:r w:rsidRPr="00F32313">
        <w:rPr>
          <w:rFonts w:ascii="Arial" w:eastAsia="SimSun" w:hAnsi="Arial" w:cs="Arial"/>
          <w:bCs/>
        </w:rPr>
        <w:t>situés sur les communes d’Esch-sur-Alzette, de Mondercange, de Sanem, de Schifflange, de Differdange et de Pétange</w:t>
      </w:r>
      <w:r>
        <w:rPr>
          <w:rFonts w:ascii="Arial" w:eastAsia="SimSun" w:hAnsi="Arial" w:cs="Arial"/>
          <w:bCs/>
        </w:rPr>
        <w:t xml:space="preserve"> ainsi que</w:t>
      </w:r>
      <w:r w:rsidRPr="00F32313">
        <w:rPr>
          <w:rFonts w:ascii="Arial" w:eastAsia="SimSun" w:hAnsi="Arial" w:cs="Arial"/>
          <w:bCs/>
        </w:rPr>
        <w:t xml:space="preserve"> les gares de Luxembourg</w:t>
      </w:r>
      <w:r>
        <w:rPr>
          <w:rFonts w:ascii="Arial" w:eastAsia="SimSun" w:hAnsi="Arial" w:cs="Arial"/>
          <w:bCs/>
        </w:rPr>
        <w:t>, d’Esch-sur-Alzette, d’Ettelbru</w:t>
      </w:r>
      <w:r w:rsidRPr="00F32313">
        <w:rPr>
          <w:rFonts w:ascii="Arial" w:eastAsia="SimSun" w:hAnsi="Arial" w:cs="Arial"/>
          <w:bCs/>
        </w:rPr>
        <w:t>ck, de Bettembourg et de Pétange</w:t>
      </w:r>
      <w:r>
        <w:rPr>
          <w:rFonts w:ascii="Arial" w:eastAsia="SimSun" w:hAnsi="Arial" w:cs="Arial"/>
          <w:bCs/>
        </w:rPr>
        <w:t>,</w:t>
      </w:r>
      <w:r w:rsidRPr="00F32313">
        <w:rPr>
          <w:rFonts w:ascii="Arial" w:eastAsia="SimSun" w:hAnsi="Arial" w:cs="Arial"/>
          <w:bCs/>
        </w:rPr>
        <w:t xml:space="preserve"> ensemble avec les surfaces non bâties attenantes qui sont actuellement la propriété des CFL.</w:t>
      </w:r>
    </w:p>
    <w:p w:rsidR="00672236" w:rsidRDefault="00672236"/>
    <w:sectPr w:rsidR="0067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HGN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A8A"/>
    <w:rsid w:val="00494A8A"/>
    <w:rsid w:val="00672236"/>
    <w:rsid w:val="0089694E"/>
    <w:rsid w:val="00C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87FD5E-6B90-4CFD-A172-DC320A0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0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: 5589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: 5589</dc:title>
  <dc:subject/>
  <dc:creator>vhaas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