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59E8" w:rsidRPr="00B359E8" w:rsidRDefault="00B359E8" w:rsidP="00B359E8">
      <w:pPr>
        <w:tabs>
          <w:tab w:val="left" w:pos="10080"/>
          <w:tab w:val="left" w:pos="10800"/>
        </w:tabs>
        <w:ind w:right="-34"/>
        <w:jc w:val="center"/>
        <w:rPr>
          <w:rFonts w:cs="Arial"/>
          <w:b/>
          <w:sz w:val="22"/>
          <w:szCs w:val="22"/>
          <w:lang w:val="fr-LU"/>
        </w:rPr>
      </w:pPr>
      <w:bookmarkStart w:id="0" w:name="_Hlk58182979"/>
      <w:bookmarkStart w:id="1" w:name="_GoBack"/>
      <w:bookmarkEnd w:id="1"/>
      <w:r w:rsidRPr="00B359E8">
        <w:rPr>
          <w:rFonts w:cs="Arial"/>
          <w:b/>
          <w:snapToGrid w:val="0"/>
          <w:sz w:val="22"/>
          <w:szCs w:val="22"/>
          <w:lang w:val="fr-LU"/>
        </w:rPr>
        <w:t xml:space="preserve">Projet de loi concernant le budget des recettes et des dépenses de </w:t>
      </w:r>
      <w:r w:rsidRPr="00B359E8">
        <w:rPr>
          <w:rFonts w:cs="Arial"/>
          <w:b/>
          <w:sz w:val="22"/>
          <w:szCs w:val="22"/>
          <w:lang w:val="fr-LU"/>
        </w:rPr>
        <w:t>l’État</w:t>
      </w:r>
    </w:p>
    <w:p w:rsidR="00B359E8" w:rsidRPr="00B359E8" w:rsidRDefault="00B359E8" w:rsidP="00B359E8">
      <w:pPr>
        <w:widowControl w:val="0"/>
        <w:ind w:right="-34"/>
        <w:jc w:val="center"/>
        <w:rPr>
          <w:rFonts w:cs="Arial"/>
          <w:b/>
          <w:snapToGrid w:val="0"/>
          <w:sz w:val="22"/>
          <w:szCs w:val="22"/>
        </w:rPr>
      </w:pPr>
      <w:r w:rsidRPr="00B359E8">
        <w:rPr>
          <w:rFonts w:cs="Arial"/>
          <w:b/>
          <w:snapToGrid w:val="0"/>
          <w:sz w:val="22"/>
          <w:szCs w:val="22"/>
        </w:rPr>
        <w:t>pour l’exercice 2021 </w:t>
      </w:r>
    </w:p>
    <w:p w:rsidR="00B359E8" w:rsidRPr="006A1522" w:rsidRDefault="00B359E8" w:rsidP="00B359E8">
      <w:pPr>
        <w:keepNext/>
        <w:tabs>
          <w:tab w:val="left" w:pos="10080"/>
          <w:tab w:val="left" w:pos="10800"/>
        </w:tabs>
        <w:ind w:right="-34"/>
        <w:rPr>
          <w:rFonts w:cs="Calibri"/>
          <w:b/>
          <w:sz w:val="22"/>
          <w:szCs w:val="22"/>
          <w:lang w:val="fr-FR"/>
        </w:rPr>
      </w:pPr>
    </w:p>
    <w:p w:rsidR="00B359E8" w:rsidRPr="002358A6" w:rsidRDefault="00B359E8" w:rsidP="00B359E8">
      <w:pPr>
        <w:tabs>
          <w:tab w:val="left" w:pos="284"/>
        </w:tabs>
        <w:autoSpaceDE w:val="0"/>
        <w:autoSpaceDN w:val="0"/>
        <w:adjustRightInd w:val="0"/>
        <w:rPr>
          <w:rFonts w:cs="Arial"/>
          <w:b/>
          <w:bCs/>
          <w:sz w:val="22"/>
          <w:szCs w:val="22"/>
          <w:lang w:val="fr-FR"/>
        </w:rPr>
      </w:pPr>
      <w:r w:rsidRPr="002358A6">
        <w:rPr>
          <w:rFonts w:cs="Arial"/>
          <w:b/>
          <w:bCs/>
          <w:sz w:val="22"/>
          <w:szCs w:val="22"/>
          <w:lang w:val="fr-FR"/>
        </w:rPr>
        <w:t>et modifiant :</w:t>
      </w:r>
    </w:p>
    <w:p w:rsidR="00B359E8" w:rsidRPr="002358A6" w:rsidRDefault="00B359E8" w:rsidP="00B359E8">
      <w:pPr>
        <w:tabs>
          <w:tab w:val="left" w:pos="284"/>
        </w:tabs>
        <w:autoSpaceDE w:val="0"/>
        <w:autoSpaceDN w:val="0"/>
        <w:adjustRightInd w:val="0"/>
        <w:rPr>
          <w:rFonts w:cs="Arial"/>
          <w:b/>
          <w:bCs/>
          <w:sz w:val="22"/>
          <w:szCs w:val="22"/>
          <w:lang w:val="fr-FR"/>
        </w:rPr>
      </w:pPr>
    </w:p>
    <w:p w:rsidR="00B359E8" w:rsidRPr="002358A6" w:rsidRDefault="00B359E8" w:rsidP="00B359E8">
      <w:pPr>
        <w:pStyle w:val="Paragraphedeliste"/>
        <w:numPr>
          <w:ilvl w:val="0"/>
          <w:numId w:val="21"/>
        </w:numPr>
        <w:jc w:val="both"/>
        <w:rPr>
          <w:rFonts w:cs="Arial"/>
          <w:b/>
          <w:bCs/>
          <w:szCs w:val="22"/>
        </w:rPr>
      </w:pPr>
      <w:r w:rsidRPr="006A1522">
        <w:rPr>
          <w:rFonts w:cs="Arial"/>
          <w:b/>
          <w:bCs/>
          <w:color w:val="000000"/>
          <w:szCs w:val="22"/>
        </w:rPr>
        <w:t xml:space="preserve">la loi </w:t>
      </w:r>
      <w:bookmarkStart w:id="2" w:name="_Hlk58182678"/>
      <w:r w:rsidRPr="002358A6">
        <w:rPr>
          <w:rFonts w:cs="Arial"/>
          <w:b/>
          <w:bCs/>
          <w:szCs w:val="22"/>
        </w:rPr>
        <w:t>modifiée du 23 décembre 1913 concernant la révision de la législation qui régit les impôts dont le recouvrement est attribué à l’administration de l’enregistrement et des domaines </w:t>
      </w:r>
      <w:bookmarkEnd w:id="2"/>
      <w:r w:rsidRPr="006A1522">
        <w:rPr>
          <w:rFonts w:cs="Arial"/>
          <w:b/>
          <w:bCs/>
          <w:color w:val="000000"/>
          <w:szCs w:val="22"/>
        </w:rPr>
        <w:t>;</w:t>
      </w:r>
    </w:p>
    <w:p w:rsidR="00B359E8" w:rsidRPr="002358A6" w:rsidRDefault="00B359E8" w:rsidP="00B359E8">
      <w:pPr>
        <w:pStyle w:val="Paragraphedeliste"/>
        <w:numPr>
          <w:ilvl w:val="0"/>
          <w:numId w:val="21"/>
        </w:numPr>
        <w:jc w:val="both"/>
        <w:rPr>
          <w:rFonts w:cs="Arial"/>
          <w:b/>
          <w:bCs/>
          <w:szCs w:val="22"/>
        </w:rPr>
      </w:pPr>
      <w:r w:rsidRPr="002358A6">
        <w:rPr>
          <w:rFonts w:cs="Arial"/>
          <w:b/>
          <w:bCs/>
          <w:szCs w:val="22"/>
        </w:rPr>
        <w:t>la loi générale des impôts modifiée du 22 mai 1931 (« Abgabenordnung ») ;</w:t>
      </w:r>
    </w:p>
    <w:p w:rsidR="00B359E8" w:rsidRPr="002358A6" w:rsidRDefault="00B359E8" w:rsidP="00B359E8">
      <w:pPr>
        <w:pStyle w:val="Paragraphedeliste"/>
        <w:numPr>
          <w:ilvl w:val="0"/>
          <w:numId w:val="21"/>
        </w:numPr>
        <w:jc w:val="both"/>
        <w:rPr>
          <w:rFonts w:cs="Arial"/>
          <w:b/>
          <w:bCs/>
          <w:szCs w:val="22"/>
        </w:rPr>
      </w:pPr>
      <w:r w:rsidRPr="002358A6">
        <w:rPr>
          <w:rFonts w:cs="Arial"/>
          <w:b/>
          <w:bCs/>
          <w:szCs w:val="22"/>
        </w:rPr>
        <w:t>la loi modifiée du 27 novembre 1933 concernant le recouvrement des contributions directes, des droits d'accise sur l'eau-de-vie et des cotisations d'assurance sociale ;</w:t>
      </w:r>
    </w:p>
    <w:p w:rsidR="00B359E8" w:rsidRPr="002358A6" w:rsidRDefault="00B359E8" w:rsidP="00B359E8">
      <w:pPr>
        <w:pStyle w:val="Paragraphedeliste"/>
        <w:numPr>
          <w:ilvl w:val="0"/>
          <w:numId w:val="21"/>
        </w:numPr>
        <w:jc w:val="both"/>
        <w:rPr>
          <w:rFonts w:cs="Arial"/>
          <w:b/>
          <w:bCs/>
          <w:szCs w:val="22"/>
        </w:rPr>
      </w:pPr>
      <w:r w:rsidRPr="006A1522">
        <w:rPr>
          <w:rFonts w:cs="Arial"/>
          <w:b/>
          <w:bCs/>
          <w:color w:val="000000"/>
          <w:szCs w:val="22"/>
        </w:rPr>
        <w:t>la loi modifiée du 9 juillet 1937 sur l’impôt sur les assurances ;</w:t>
      </w:r>
    </w:p>
    <w:p w:rsidR="00B359E8" w:rsidRPr="006A1522" w:rsidRDefault="00B359E8" w:rsidP="00B359E8">
      <w:pPr>
        <w:pStyle w:val="Paragraphedeliste"/>
        <w:numPr>
          <w:ilvl w:val="0"/>
          <w:numId w:val="21"/>
        </w:numPr>
        <w:jc w:val="both"/>
        <w:rPr>
          <w:rFonts w:cs="Arial"/>
          <w:b/>
          <w:bCs/>
          <w:color w:val="000000"/>
          <w:szCs w:val="22"/>
        </w:rPr>
      </w:pPr>
      <w:r w:rsidRPr="006A1522">
        <w:rPr>
          <w:rFonts w:cs="Arial"/>
          <w:b/>
          <w:bCs/>
          <w:color w:val="000000"/>
          <w:szCs w:val="22"/>
        </w:rPr>
        <w:t>la loi modifiée du 1</w:t>
      </w:r>
      <w:r w:rsidRPr="006A1522">
        <w:rPr>
          <w:rFonts w:cs="Arial"/>
          <w:b/>
          <w:bCs/>
          <w:color w:val="000000"/>
          <w:szCs w:val="22"/>
          <w:vertAlign w:val="superscript"/>
        </w:rPr>
        <w:t>er</w:t>
      </w:r>
      <w:r w:rsidRPr="006A1522">
        <w:rPr>
          <w:rFonts w:cs="Arial"/>
          <w:b/>
          <w:bCs/>
          <w:color w:val="000000"/>
          <w:szCs w:val="22"/>
        </w:rPr>
        <w:t xml:space="preserve"> février 1939 sur l'impôt dans l'intérêt du service d'incendie ;</w:t>
      </w:r>
    </w:p>
    <w:p w:rsidR="00B359E8" w:rsidRPr="002358A6" w:rsidRDefault="00B359E8" w:rsidP="00B359E8">
      <w:pPr>
        <w:pStyle w:val="Paragraphedeliste"/>
        <w:numPr>
          <w:ilvl w:val="0"/>
          <w:numId w:val="21"/>
        </w:numPr>
        <w:jc w:val="both"/>
        <w:rPr>
          <w:rFonts w:cs="Arial"/>
          <w:b/>
          <w:bCs/>
          <w:szCs w:val="22"/>
        </w:rPr>
      </w:pPr>
      <w:r w:rsidRPr="002358A6">
        <w:rPr>
          <w:rFonts w:cs="Arial"/>
          <w:b/>
          <w:bCs/>
          <w:szCs w:val="22"/>
        </w:rPr>
        <w:t>la loi modifiée du 28 janvier 1948 tendant à assurer la juste et exacte perception des droits d’enregistrement et de succession ;</w:t>
      </w:r>
    </w:p>
    <w:p w:rsidR="00B359E8" w:rsidRPr="002358A6" w:rsidRDefault="00B359E8" w:rsidP="00B359E8">
      <w:pPr>
        <w:pStyle w:val="Paragraphedeliste"/>
        <w:numPr>
          <w:ilvl w:val="0"/>
          <w:numId w:val="21"/>
        </w:numPr>
        <w:jc w:val="both"/>
        <w:rPr>
          <w:rFonts w:cs="Arial"/>
          <w:b/>
          <w:bCs/>
          <w:szCs w:val="22"/>
        </w:rPr>
      </w:pPr>
      <w:r w:rsidRPr="002358A6">
        <w:rPr>
          <w:rFonts w:cs="Arial"/>
          <w:b/>
          <w:bCs/>
          <w:szCs w:val="22"/>
        </w:rPr>
        <w:t>la loi modifiée du 22 juin 1963 fixant le régime des traitements des fonctionnaires de l’État ;</w:t>
      </w:r>
    </w:p>
    <w:p w:rsidR="00B359E8" w:rsidRPr="002358A6" w:rsidRDefault="00B359E8" w:rsidP="00B359E8">
      <w:pPr>
        <w:pStyle w:val="Paragraphedeliste"/>
        <w:numPr>
          <w:ilvl w:val="0"/>
          <w:numId w:val="21"/>
        </w:numPr>
        <w:jc w:val="both"/>
        <w:rPr>
          <w:rFonts w:cs="Arial"/>
          <w:b/>
          <w:bCs/>
          <w:szCs w:val="22"/>
        </w:rPr>
      </w:pPr>
      <w:r w:rsidRPr="006A1522">
        <w:rPr>
          <w:rFonts w:cs="Arial"/>
          <w:b/>
          <w:bCs/>
          <w:color w:val="000000"/>
          <w:szCs w:val="22"/>
        </w:rPr>
        <w:t>la loi modifiée du 4 décembre 1967 concernant l’impôt sur le revenu ;</w:t>
      </w:r>
    </w:p>
    <w:p w:rsidR="00B359E8" w:rsidRPr="006A1522" w:rsidRDefault="00B359E8" w:rsidP="00B359E8">
      <w:pPr>
        <w:pStyle w:val="Paragraphedeliste"/>
        <w:numPr>
          <w:ilvl w:val="0"/>
          <w:numId w:val="21"/>
        </w:numPr>
        <w:jc w:val="both"/>
        <w:rPr>
          <w:rFonts w:cs="Arial"/>
          <w:b/>
          <w:bCs/>
          <w:color w:val="000000"/>
          <w:szCs w:val="22"/>
        </w:rPr>
      </w:pPr>
      <w:r w:rsidRPr="006A1522">
        <w:rPr>
          <w:rFonts w:cs="Arial"/>
          <w:b/>
          <w:bCs/>
          <w:color w:val="000000"/>
          <w:szCs w:val="22"/>
        </w:rPr>
        <w:t>la loi modifiée du 12 février 1979 concernant la taxe sur la valeur ajoutée ;</w:t>
      </w:r>
    </w:p>
    <w:p w:rsidR="00B359E8" w:rsidRPr="002358A6" w:rsidRDefault="00B359E8" w:rsidP="00B359E8">
      <w:pPr>
        <w:pStyle w:val="Sansinterligne"/>
        <w:numPr>
          <w:ilvl w:val="0"/>
          <w:numId w:val="21"/>
        </w:numPr>
        <w:jc w:val="both"/>
        <w:rPr>
          <w:rFonts w:ascii="Arial" w:hAnsi="Arial" w:cs="Arial"/>
          <w:b/>
          <w:bCs/>
          <w:sz w:val="22"/>
          <w:szCs w:val="22"/>
        </w:rPr>
      </w:pPr>
      <w:r w:rsidRPr="002358A6">
        <w:rPr>
          <w:rFonts w:ascii="Arial" w:hAnsi="Arial" w:cs="Arial"/>
          <w:b/>
          <w:bCs/>
          <w:sz w:val="22"/>
          <w:szCs w:val="22"/>
        </w:rPr>
        <w:t>la loi modifiée du 25 février 1979 concernant l’aide au logement ;</w:t>
      </w:r>
    </w:p>
    <w:p w:rsidR="00B359E8" w:rsidRPr="002358A6" w:rsidRDefault="00B359E8" w:rsidP="00B359E8">
      <w:pPr>
        <w:pStyle w:val="Sansinterligne"/>
        <w:numPr>
          <w:ilvl w:val="0"/>
          <w:numId w:val="21"/>
        </w:numPr>
        <w:jc w:val="both"/>
        <w:rPr>
          <w:rFonts w:ascii="Arial" w:hAnsi="Arial" w:cs="Arial"/>
          <w:b/>
          <w:bCs/>
          <w:sz w:val="22"/>
          <w:szCs w:val="22"/>
        </w:rPr>
      </w:pPr>
      <w:r w:rsidRPr="002358A6">
        <w:rPr>
          <w:rFonts w:ascii="Arial" w:hAnsi="Arial" w:cs="Arial"/>
          <w:b/>
          <w:bCs/>
          <w:snapToGrid w:val="0"/>
          <w:sz w:val="22"/>
          <w:szCs w:val="22"/>
        </w:rPr>
        <w:t>la loi modifiée du 14 mai 1997 relative à la participation à des institutions financières internationales ;</w:t>
      </w:r>
    </w:p>
    <w:p w:rsidR="00B359E8" w:rsidRPr="002358A6" w:rsidRDefault="00B359E8" w:rsidP="00B359E8">
      <w:pPr>
        <w:pStyle w:val="Sansinterligne"/>
        <w:numPr>
          <w:ilvl w:val="0"/>
          <w:numId w:val="21"/>
        </w:numPr>
        <w:rPr>
          <w:rFonts w:ascii="Arial" w:hAnsi="Arial" w:cs="Arial"/>
          <w:b/>
          <w:bCs/>
          <w:sz w:val="22"/>
          <w:szCs w:val="22"/>
        </w:rPr>
      </w:pPr>
      <w:r w:rsidRPr="002358A6">
        <w:rPr>
          <w:rFonts w:ascii="Arial" w:hAnsi="Arial" w:cs="Arial"/>
          <w:b/>
          <w:bCs/>
          <w:snapToGrid w:val="0"/>
          <w:sz w:val="22"/>
          <w:szCs w:val="22"/>
        </w:rPr>
        <w:t>la loi modifiée du 27 juillet 1997 sur le contrat d’assurance ;</w:t>
      </w:r>
    </w:p>
    <w:p w:rsidR="00B359E8" w:rsidRPr="002358A6" w:rsidRDefault="00B359E8" w:rsidP="00B359E8">
      <w:pPr>
        <w:pStyle w:val="Sansinterligne"/>
        <w:numPr>
          <w:ilvl w:val="0"/>
          <w:numId w:val="21"/>
        </w:numPr>
        <w:rPr>
          <w:rFonts w:ascii="Arial" w:hAnsi="Arial" w:cs="Arial"/>
          <w:b/>
          <w:bCs/>
          <w:sz w:val="22"/>
          <w:szCs w:val="22"/>
        </w:rPr>
      </w:pPr>
      <w:r w:rsidRPr="002358A6">
        <w:rPr>
          <w:rFonts w:ascii="Arial" w:hAnsi="Arial" w:cs="Arial"/>
          <w:b/>
          <w:bCs/>
          <w:sz w:val="22"/>
          <w:szCs w:val="22"/>
        </w:rPr>
        <w:t>la loi modifiée du 28 avril 1998 portant </w:t>
      </w:r>
    </w:p>
    <w:p w:rsidR="00B359E8" w:rsidRPr="002358A6" w:rsidRDefault="00B359E8" w:rsidP="00B359E8">
      <w:pPr>
        <w:pStyle w:val="Sansinterligne"/>
        <w:numPr>
          <w:ilvl w:val="1"/>
          <w:numId w:val="20"/>
        </w:numPr>
        <w:ind w:left="1134" w:hanging="283"/>
        <w:rPr>
          <w:rFonts w:ascii="Arial" w:hAnsi="Arial" w:cs="Arial"/>
          <w:b/>
          <w:bCs/>
          <w:sz w:val="22"/>
          <w:szCs w:val="22"/>
        </w:rPr>
      </w:pPr>
      <w:r w:rsidRPr="002358A6">
        <w:rPr>
          <w:rFonts w:ascii="Arial" w:hAnsi="Arial" w:cs="Arial"/>
          <w:b/>
          <w:bCs/>
          <w:sz w:val="22"/>
          <w:szCs w:val="22"/>
        </w:rPr>
        <w:t>harmonisation de l’enseignement musical dans le secteur communal ;</w:t>
      </w:r>
    </w:p>
    <w:p w:rsidR="00B359E8" w:rsidRPr="002358A6" w:rsidRDefault="00B359E8" w:rsidP="00B359E8">
      <w:pPr>
        <w:pStyle w:val="Sansinterligne"/>
        <w:numPr>
          <w:ilvl w:val="1"/>
          <w:numId w:val="20"/>
        </w:numPr>
        <w:ind w:left="1134" w:hanging="283"/>
        <w:rPr>
          <w:rFonts w:ascii="Arial" w:hAnsi="Arial" w:cs="Arial"/>
          <w:b/>
          <w:bCs/>
          <w:sz w:val="22"/>
          <w:szCs w:val="22"/>
        </w:rPr>
      </w:pPr>
      <w:r w:rsidRPr="002358A6">
        <w:rPr>
          <w:rFonts w:ascii="Arial" w:hAnsi="Arial" w:cs="Arial"/>
          <w:b/>
          <w:bCs/>
          <w:sz w:val="22"/>
          <w:szCs w:val="22"/>
        </w:rPr>
        <w:t>modification de l’article 5 de la loi du 24 mai 1989 sur le contrat de travail ;</w:t>
      </w:r>
    </w:p>
    <w:p w:rsidR="00B359E8" w:rsidRPr="002358A6" w:rsidRDefault="00B359E8" w:rsidP="00B359E8">
      <w:pPr>
        <w:pStyle w:val="Sansinterligne"/>
        <w:numPr>
          <w:ilvl w:val="1"/>
          <w:numId w:val="20"/>
        </w:numPr>
        <w:ind w:left="1134" w:hanging="283"/>
        <w:jc w:val="both"/>
        <w:rPr>
          <w:rFonts w:ascii="Arial" w:hAnsi="Arial" w:cs="Arial"/>
          <w:b/>
          <w:bCs/>
          <w:sz w:val="22"/>
          <w:szCs w:val="22"/>
        </w:rPr>
      </w:pPr>
      <w:r w:rsidRPr="002358A6">
        <w:rPr>
          <w:rFonts w:ascii="Arial" w:hAnsi="Arial" w:cs="Arial"/>
          <w:b/>
          <w:bCs/>
          <w:sz w:val="22"/>
          <w:szCs w:val="22"/>
        </w:rPr>
        <w:t>modification de la loi modifiée du 22 juin 1963 fixant le régime des traitements des fonctionnaires de l’Etat ;</w:t>
      </w:r>
    </w:p>
    <w:p w:rsidR="00B359E8" w:rsidRPr="002358A6" w:rsidRDefault="00B359E8" w:rsidP="00B359E8">
      <w:pPr>
        <w:pStyle w:val="Sansinterligne"/>
        <w:numPr>
          <w:ilvl w:val="0"/>
          <w:numId w:val="21"/>
        </w:numPr>
        <w:jc w:val="both"/>
        <w:rPr>
          <w:rFonts w:ascii="Arial" w:hAnsi="Arial" w:cs="Arial"/>
          <w:b/>
          <w:bCs/>
          <w:sz w:val="22"/>
          <w:szCs w:val="22"/>
        </w:rPr>
      </w:pPr>
      <w:r w:rsidRPr="002358A6">
        <w:rPr>
          <w:rFonts w:ascii="Arial" w:hAnsi="Arial" w:cs="Arial"/>
          <w:b/>
          <w:bCs/>
          <w:sz w:val="22"/>
          <w:szCs w:val="22"/>
        </w:rPr>
        <w:t>la loi modifiée du 21 décembre 1998 concernant le budget des recettes et des dépenses de l’État pour l’exercice 1999 ;</w:t>
      </w:r>
    </w:p>
    <w:p w:rsidR="00B359E8" w:rsidRPr="002358A6" w:rsidRDefault="00B359E8" w:rsidP="00B359E8">
      <w:pPr>
        <w:pStyle w:val="Paragraphedeliste"/>
        <w:numPr>
          <w:ilvl w:val="0"/>
          <w:numId w:val="22"/>
        </w:numPr>
        <w:jc w:val="both"/>
        <w:rPr>
          <w:rFonts w:cs="Arial"/>
          <w:b/>
          <w:bCs/>
          <w:szCs w:val="22"/>
        </w:rPr>
      </w:pPr>
      <w:r w:rsidRPr="006A1522">
        <w:rPr>
          <w:rFonts w:cs="Arial"/>
          <w:b/>
          <w:bCs/>
          <w:color w:val="000000"/>
          <w:szCs w:val="22"/>
        </w:rPr>
        <w:t>la loi modifiée du 11 mai 2007 relative à la création d’une société de gestion de patrimoine familial (« SPF ») ;</w:t>
      </w:r>
    </w:p>
    <w:p w:rsidR="00B359E8" w:rsidRPr="002358A6" w:rsidRDefault="00B359E8" w:rsidP="00B359E8">
      <w:pPr>
        <w:pStyle w:val="Sansinterligne"/>
        <w:numPr>
          <w:ilvl w:val="0"/>
          <w:numId w:val="22"/>
        </w:numPr>
        <w:jc w:val="both"/>
        <w:rPr>
          <w:rFonts w:ascii="Arial" w:hAnsi="Arial" w:cs="Arial"/>
          <w:b/>
          <w:bCs/>
          <w:sz w:val="22"/>
          <w:szCs w:val="22"/>
        </w:rPr>
      </w:pPr>
      <w:r w:rsidRPr="002358A6">
        <w:rPr>
          <w:rFonts w:ascii="Arial" w:hAnsi="Arial" w:cs="Arial"/>
          <w:b/>
          <w:bCs/>
          <w:sz w:val="22"/>
          <w:szCs w:val="22"/>
        </w:rPr>
        <w:t>la loi modifiée du 16 décembre 2008 concernant l’intégration des étrangers au Grand-Duché de Luxembourg ;</w:t>
      </w:r>
    </w:p>
    <w:p w:rsidR="00B359E8" w:rsidRPr="002358A6" w:rsidRDefault="00B359E8" w:rsidP="00B359E8">
      <w:pPr>
        <w:pStyle w:val="Paragraphedeliste"/>
        <w:numPr>
          <w:ilvl w:val="0"/>
          <w:numId w:val="22"/>
        </w:numPr>
        <w:jc w:val="both"/>
        <w:rPr>
          <w:rFonts w:cs="Arial"/>
          <w:b/>
          <w:bCs/>
          <w:szCs w:val="22"/>
        </w:rPr>
      </w:pPr>
      <w:r w:rsidRPr="002358A6">
        <w:rPr>
          <w:rFonts w:cs="Arial"/>
          <w:b/>
          <w:bCs/>
          <w:szCs w:val="22"/>
        </w:rPr>
        <w:t>la loi du 19 décembre 2008 portant révision du régime applicable à certains actes de société en matière de droits d’enregistrement, portant transposition de la directive 2008/7/CE du Conseil du 12 février 2008 concernant les impôts indirects frappant les rassemblements de capitaux, modifiant: la loi modifiée du 7 août 1920, portant majoration des droits d'enregistrement, de timbre, de succession, etc., la loi modifiée du 20 décembre 2002 concernant les organismes de placement collectif, la loi du 22 mars 2004 relative à la titrisation, la loi modifiée du 15 juin 2004 relative à la société d'investissement en capital à risque (SICAR), la loi modifiée du 13 juillet 2005 relative aux institutions de retraite professionnelle sous forme de sepcav et assep, la loi du 13 février 2007 relative aux fonds d'investissement spécialisés, et abrogeant la loi modifiée du 29 décembre 1971 concernant l'impôt frappant les rassemblements de capitaux dans les sociétés civiles et commerciales et portant révision de certaines dispositions législatives régissant la perception des droits d'enregistrement ;</w:t>
      </w:r>
    </w:p>
    <w:p w:rsidR="00B359E8" w:rsidRPr="002358A6" w:rsidRDefault="00B359E8" w:rsidP="00B359E8">
      <w:pPr>
        <w:pStyle w:val="Paragraphedeliste"/>
        <w:numPr>
          <w:ilvl w:val="0"/>
          <w:numId w:val="22"/>
        </w:numPr>
        <w:jc w:val="both"/>
        <w:rPr>
          <w:rFonts w:cs="Arial"/>
          <w:b/>
          <w:bCs/>
          <w:szCs w:val="22"/>
        </w:rPr>
      </w:pPr>
      <w:r w:rsidRPr="002358A6">
        <w:rPr>
          <w:rFonts w:cs="Arial"/>
          <w:b/>
          <w:bCs/>
          <w:szCs w:val="22"/>
        </w:rPr>
        <w:t>la loi modifiée du 17 décembre 2010 concernant les organismes de placement collectif ;</w:t>
      </w:r>
    </w:p>
    <w:p w:rsidR="00B359E8" w:rsidRPr="002358A6" w:rsidRDefault="00B359E8" w:rsidP="00B359E8">
      <w:pPr>
        <w:pStyle w:val="Paragraphedeliste"/>
        <w:numPr>
          <w:ilvl w:val="0"/>
          <w:numId w:val="22"/>
        </w:numPr>
        <w:jc w:val="both"/>
        <w:rPr>
          <w:rFonts w:cs="Arial"/>
          <w:b/>
          <w:bCs/>
          <w:szCs w:val="22"/>
        </w:rPr>
      </w:pPr>
      <w:r w:rsidRPr="002358A6">
        <w:rPr>
          <w:rFonts w:cs="Arial"/>
          <w:b/>
          <w:bCs/>
          <w:szCs w:val="22"/>
        </w:rPr>
        <w:lastRenderedPageBreak/>
        <w:t>la loi modifiée du 17 décembre 2010 fixant les droits d’accise et les taxes assimilées sur les produits énergétiques, l’électricité, les produits de tabacs manufacturés, l’alcool et les boissons alcooliques ;</w:t>
      </w:r>
    </w:p>
    <w:p w:rsidR="00B359E8" w:rsidRPr="002358A6" w:rsidRDefault="00B359E8" w:rsidP="00B359E8">
      <w:pPr>
        <w:pStyle w:val="Paragraphedeliste"/>
        <w:numPr>
          <w:ilvl w:val="0"/>
          <w:numId w:val="22"/>
        </w:numPr>
        <w:jc w:val="both"/>
        <w:rPr>
          <w:rFonts w:cs="Arial"/>
          <w:b/>
          <w:bCs/>
          <w:szCs w:val="22"/>
        </w:rPr>
      </w:pPr>
      <w:r w:rsidRPr="002358A6">
        <w:rPr>
          <w:rFonts w:cs="Arial"/>
          <w:b/>
          <w:bCs/>
          <w:szCs w:val="22"/>
        </w:rPr>
        <w:t>la loi modifiée du 25 mars 2015 fixant le régime des traitements et les conditions et modalités d’avancement des fonctionnaires de l’Etat ;</w:t>
      </w:r>
    </w:p>
    <w:p w:rsidR="00B359E8" w:rsidRPr="002358A6" w:rsidRDefault="00B359E8" w:rsidP="00B359E8">
      <w:pPr>
        <w:pStyle w:val="Sansinterligne"/>
        <w:numPr>
          <w:ilvl w:val="0"/>
          <w:numId w:val="22"/>
        </w:numPr>
        <w:rPr>
          <w:rFonts w:ascii="Arial" w:hAnsi="Arial" w:cs="Arial"/>
          <w:b/>
          <w:bCs/>
          <w:sz w:val="22"/>
          <w:szCs w:val="22"/>
        </w:rPr>
      </w:pPr>
      <w:r w:rsidRPr="006A1522">
        <w:rPr>
          <w:rFonts w:ascii="Arial" w:hAnsi="Arial" w:cs="Arial"/>
          <w:b/>
          <w:bCs/>
          <w:color w:val="000000"/>
          <w:sz w:val="22"/>
          <w:szCs w:val="22"/>
        </w:rPr>
        <w:t>la loi du 23 juillet 2016 portant création d’un impôt dans l’intérêt des services de secours ;</w:t>
      </w:r>
      <w:r w:rsidRPr="002358A6">
        <w:rPr>
          <w:rFonts w:ascii="Arial" w:hAnsi="Arial" w:cs="Arial"/>
          <w:b/>
          <w:bCs/>
          <w:sz w:val="22"/>
          <w:szCs w:val="22"/>
        </w:rPr>
        <w:t xml:space="preserve"> </w:t>
      </w:r>
    </w:p>
    <w:p w:rsidR="00B359E8" w:rsidRPr="002358A6" w:rsidRDefault="00B359E8" w:rsidP="00B359E8">
      <w:pPr>
        <w:pStyle w:val="Paragraphedeliste"/>
        <w:numPr>
          <w:ilvl w:val="0"/>
          <w:numId w:val="22"/>
        </w:numPr>
        <w:jc w:val="both"/>
        <w:rPr>
          <w:rFonts w:cs="Arial"/>
          <w:b/>
          <w:bCs/>
          <w:szCs w:val="22"/>
        </w:rPr>
      </w:pPr>
      <w:r w:rsidRPr="002358A6">
        <w:rPr>
          <w:rFonts w:cs="Arial"/>
          <w:b/>
          <w:bCs/>
          <w:szCs w:val="22"/>
        </w:rPr>
        <w:t xml:space="preserve">la loi modifiée du 23 décembre 2016 </w:t>
      </w:r>
    </w:p>
    <w:p w:rsidR="00B359E8" w:rsidRPr="002358A6" w:rsidRDefault="00B359E8" w:rsidP="00B359E8">
      <w:pPr>
        <w:pStyle w:val="Paragraphedeliste"/>
        <w:ind w:left="851"/>
        <w:jc w:val="both"/>
        <w:rPr>
          <w:rFonts w:cs="Arial"/>
          <w:b/>
          <w:bCs/>
          <w:szCs w:val="22"/>
        </w:rPr>
      </w:pPr>
      <w:r w:rsidRPr="002358A6">
        <w:rPr>
          <w:rFonts w:cs="Arial"/>
          <w:b/>
          <w:bCs/>
          <w:szCs w:val="22"/>
        </w:rPr>
        <w:t xml:space="preserve">1. instituant un régime d’aides pour la promotion de la durabilité, de l’utilisation rationnelle de l’énergie et des énergies renouvelables dans le domaine du logement; </w:t>
      </w:r>
    </w:p>
    <w:p w:rsidR="00B359E8" w:rsidRPr="002358A6" w:rsidRDefault="00B359E8" w:rsidP="00B359E8">
      <w:pPr>
        <w:pStyle w:val="Paragraphedeliste"/>
        <w:ind w:left="851"/>
        <w:jc w:val="both"/>
        <w:rPr>
          <w:rFonts w:cs="Arial"/>
          <w:b/>
          <w:bCs/>
          <w:szCs w:val="22"/>
        </w:rPr>
      </w:pPr>
      <w:r w:rsidRPr="002358A6">
        <w:rPr>
          <w:rFonts w:cs="Arial"/>
          <w:b/>
          <w:bCs/>
          <w:szCs w:val="22"/>
        </w:rPr>
        <w:t>2. modifiant la loi modifiée du 23 décembre 2004 établissant un système d'échange de quotas d'émission de gaz à effet de serre ;</w:t>
      </w:r>
    </w:p>
    <w:p w:rsidR="00B359E8" w:rsidRPr="002358A6" w:rsidRDefault="00B359E8" w:rsidP="00B359E8">
      <w:pPr>
        <w:pStyle w:val="Sansinterligne"/>
        <w:numPr>
          <w:ilvl w:val="0"/>
          <w:numId w:val="22"/>
        </w:numPr>
        <w:jc w:val="both"/>
        <w:rPr>
          <w:rFonts w:ascii="Arial" w:hAnsi="Arial" w:cs="Arial"/>
          <w:b/>
          <w:bCs/>
          <w:sz w:val="22"/>
          <w:szCs w:val="22"/>
        </w:rPr>
      </w:pPr>
      <w:r w:rsidRPr="002358A6">
        <w:rPr>
          <w:rFonts w:ascii="Arial" w:hAnsi="Arial" w:cs="Arial"/>
          <w:b/>
          <w:bCs/>
          <w:sz w:val="22"/>
          <w:szCs w:val="22"/>
        </w:rPr>
        <w:t>la loi modifiée du 20 juillet 2017 ayant pour objet la mise en place d’un régime d’aide à l’investissement à finalité régionale ;</w:t>
      </w:r>
    </w:p>
    <w:p w:rsidR="00B359E8" w:rsidRPr="002358A6" w:rsidRDefault="00B359E8" w:rsidP="00B359E8">
      <w:pPr>
        <w:pStyle w:val="Sansinterligne"/>
        <w:numPr>
          <w:ilvl w:val="0"/>
          <w:numId w:val="22"/>
        </w:numPr>
        <w:rPr>
          <w:rFonts w:ascii="Arial" w:hAnsi="Arial" w:cs="Arial"/>
          <w:b/>
          <w:bCs/>
          <w:sz w:val="22"/>
          <w:szCs w:val="22"/>
        </w:rPr>
      </w:pPr>
      <w:r w:rsidRPr="002358A6">
        <w:rPr>
          <w:rFonts w:ascii="Arial" w:hAnsi="Arial" w:cs="Arial"/>
          <w:b/>
          <w:bCs/>
          <w:sz w:val="22"/>
          <w:szCs w:val="22"/>
        </w:rPr>
        <w:t>la loi modifiée du 28 juillet 2018 relative au revenu d’inclusion sociale ;</w:t>
      </w:r>
    </w:p>
    <w:p w:rsidR="00B359E8" w:rsidRPr="002358A6" w:rsidRDefault="00B359E8" w:rsidP="00B359E8">
      <w:pPr>
        <w:pStyle w:val="Sansinterligne"/>
        <w:numPr>
          <w:ilvl w:val="0"/>
          <w:numId w:val="22"/>
        </w:numPr>
        <w:jc w:val="both"/>
        <w:rPr>
          <w:rFonts w:ascii="Arial" w:hAnsi="Arial" w:cs="Arial"/>
          <w:b/>
          <w:bCs/>
          <w:sz w:val="22"/>
          <w:szCs w:val="22"/>
        </w:rPr>
      </w:pPr>
      <w:r w:rsidRPr="002358A6">
        <w:rPr>
          <w:rFonts w:ascii="Arial" w:hAnsi="Arial" w:cs="Arial"/>
          <w:b/>
          <w:bCs/>
          <w:sz w:val="22"/>
          <w:szCs w:val="22"/>
        </w:rPr>
        <w:t xml:space="preserve">la loi du 15 décembre 2020 relative au climat </w:t>
      </w:r>
    </w:p>
    <w:p w:rsidR="00B359E8" w:rsidRPr="002358A6" w:rsidRDefault="00B359E8" w:rsidP="00B359E8">
      <w:pPr>
        <w:jc w:val="both"/>
        <w:rPr>
          <w:rFonts w:cs="Arial"/>
          <w:b/>
          <w:bCs/>
          <w:sz w:val="22"/>
          <w:szCs w:val="22"/>
          <w:lang w:val="fr-FR"/>
        </w:rPr>
      </w:pPr>
    </w:p>
    <w:p w:rsidR="00B359E8" w:rsidRPr="002358A6" w:rsidRDefault="00B359E8" w:rsidP="00B359E8">
      <w:pPr>
        <w:jc w:val="both"/>
        <w:rPr>
          <w:rFonts w:cs="Arial"/>
          <w:b/>
          <w:bCs/>
          <w:sz w:val="22"/>
          <w:szCs w:val="22"/>
          <w:lang w:val="fr-FR"/>
        </w:rPr>
      </w:pPr>
      <w:r w:rsidRPr="002358A6">
        <w:rPr>
          <w:rFonts w:cs="Arial"/>
          <w:b/>
          <w:bCs/>
          <w:sz w:val="22"/>
          <w:szCs w:val="22"/>
          <w:lang w:val="fr-FR"/>
        </w:rPr>
        <w:t>et portant abrogation de la loi modifiée du 22 décembre 1993 ayant pour objet la relance de l'investissement dans l'intérêt du développement économique</w:t>
      </w:r>
    </w:p>
    <w:bookmarkEnd w:id="0"/>
    <w:p w:rsidR="00ED0888" w:rsidRPr="00B359E8" w:rsidRDefault="00ED0888" w:rsidP="00ED0888">
      <w:pPr>
        <w:widowControl w:val="0"/>
        <w:tabs>
          <w:tab w:val="left" w:pos="10080"/>
          <w:tab w:val="left" w:pos="10800"/>
        </w:tabs>
        <w:ind w:right="159"/>
        <w:jc w:val="both"/>
        <w:rPr>
          <w:rFonts w:cs="Arial"/>
          <w:snapToGrid w:val="0"/>
          <w:color w:val="FF0000"/>
          <w:sz w:val="22"/>
          <w:szCs w:val="22"/>
          <w:lang w:val="fr-FR" w:eastAsia="en-US"/>
        </w:rPr>
      </w:pPr>
    </w:p>
    <w:p w:rsidR="002358A6" w:rsidRDefault="002358A6" w:rsidP="00BB664B">
      <w:pPr>
        <w:widowControl w:val="0"/>
        <w:tabs>
          <w:tab w:val="left" w:pos="10080"/>
          <w:tab w:val="left" w:pos="10800"/>
        </w:tabs>
        <w:ind w:right="159"/>
        <w:jc w:val="both"/>
        <w:rPr>
          <w:rFonts w:cs="Arial"/>
          <w:snapToGrid w:val="0"/>
          <w:color w:val="auto"/>
          <w:sz w:val="22"/>
          <w:szCs w:val="22"/>
          <w:lang w:val="fr-FR" w:eastAsia="en-US"/>
        </w:rPr>
      </w:pPr>
    </w:p>
    <w:p w:rsidR="00BB664B" w:rsidRPr="00BB664B" w:rsidRDefault="00ED0888" w:rsidP="00BB664B">
      <w:pPr>
        <w:widowControl w:val="0"/>
        <w:tabs>
          <w:tab w:val="left" w:pos="10080"/>
          <w:tab w:val="left" w:pos="10800"/>
        </w:tabs>
        <w:ind w:right="159"/>
        <w:jc w:val="both"/>
        <w:rPr>
          <w:rFonts w:cs="Arial"/>
          <w:snapToGrid w:val="0"/>
          <w:color w:val="auto"/>
          <w:sz w:val="22"/>
          <w:szCs w:val="22"/>
          <w:lang w:val="fr-FR" w:eastAsia="en-US"/>
        </w:rPr>
      </w:pPr>
      <w:r w:rsidRPr="00B359E8">
        <w:rPr>
          <w:rFonts w:cs="Arial"/>
          <w:snapToGrid w:val="0"/>
          <w:color w:val="auto"/>
          <w:sz w:val="22"/>
          <w:szCs w:val="22"/>
          <w:lang w:val="fr-FR" w:eastAsia="en-US"/>
        </w:rPr>
        <w:t>Le budget de l'État pour l'exercice 202</w:t>
      </w:r>
      <w:r w:rsidR="00B359E8" w:rsidRPr="00B359E8">
        <w:rPr>
          <w:rFonts w:cs="Arial"/>
          <w:snapToGrid w:val="0"/>
          <w:color w:val="auto"/>
          <w:sz w:val="22"/>
          <w:szCs w:val="22"/>
          <w:lang w:val="fr-FR" w:eastAsia="en-US"/>
        </w:rPr>
        <w:t>1</w:t>
      </w:r>
      <w:r w:rsidRPr="00B359E8">
        <w:rPr>
          <w:rFonts w:cs="Arial"/>
          <w:snapToGrid w:val="0"/>
          <w:color w:val="auto"/>
          <w:sz w:val="22"/>
          <w:szCs w:val="22"/>
          <w:lang w:val="fr-FR" w:eastAsia="en-US"/>
        </w:rPr>
        <w:t xml:space="preserve"> est arrêté aux montants suivants :</w:t>
      </w:r>
    </w:p>
    <w:p w:rsidR="00BB664B" w:rsidRDefault="00BB664B" w:rsidP="00FA59ED">
      <w:pPr>
        <w:jc w:val="both"/>
        <w:rPr>
          <w:rFonts w:cs="Arial"/>
          <w:color w:val="FF0000"/>
          <w:sz w:val="22"/>
          <w:szCs w:val="22"/>
          <w:u w:val="single"/>
          <w:lang w:val="fr-FR"/>
        </w:rPr>
      </w:pPr>
    </w:p>
    <w:tbl>
      <w:tblPr>
        <w:tblW w:w="8930" w:type="dxa"/>
        <w:tblInd w:w="213" w:type="dxa"/>
        <w:tblLayout w:type="fixed"/>
        <w:tblCellMar>
          <w:left w:w="71" w:type="dxa"/>
          <w:right w:w="71" w:type="dxa"/>
        </w:tblCellMar>
        <w:tblLook w:val="0000" w:firstRow="0" w:lastRow="0" w:firstColumn="0" w:lastColumn="0" w:noHBand="0" w:noVBand="0"/>
      </w:tblPr>
      <w:tblGrid>
        <w:gridCol w:w="4040"/>
        <w:gridCol w:w="709"/>
        <w:gridCol w:w="141"/>
        <w:gridCol w:w="1843"/>
        <w:gridCol w:w="213"/>
        <w:gridCol w:w="1984"/>
      </w:tblGrid>
      <w:tr w:rsidR="00BB664B" w:rsidRPr="00BB664B" w:rsidTr="00BB664B">
        <w:tc>
          <w:tcPr>
            <w:tcW w:w="4040" w:type="dxa"/>
          </w:tcPr>
          <w:p w:rsidR="00BB664B" w:rsidRPr="00BB664B" w:rsidRDefault="00BB664B" w:rsidP="00BB664B">
            <w:pPr>
              <w:widowControl w:val="0"/>
              <w:tabs>
                <w:tab w:val="left" w:leader="dot" w:pos="3401"/>
                <w:tab w:val="left" w:pos="10080"/>
                <w:tab w:val="left" w:pos="10800"/>
              </w:tabs>
              <w:jc w:val="both"/>
              <w:rPr>
                <w:rFonts w:eastAsia="Calibri" w:cs="Arial"/>
                <w:color w:val="auto"/>
                <w:sz w:val="22"/>
                <w:szCs w:val="22"/>
                <w:lang w:val="fr-FR" w:eastAsia="en-US"/>
              </w:rPr>
            </w:pPr>
            <w:r w:rsidRPr="00BB664B">
              <w:rPr>
                <w:rFonts w:eastAsia="Calibri" w:cs="Arial"/>
                <w:color w:val="auto"/>
                <w:sz w:val="22"/>
                <w:szCs w:val="22"/>
                <w:lang w:val="fr-FR" w:eastAsia="en-US"/>
              </w:rPr>
              <w:t>- Recettes courantes</w:t>
            </w:r>
            <w:r w:rsidRPr="00BB664B">
              <w:rPr>
                <w:rFonts w:eastAsia="Calibri" w:cs="Arial"/>
                <w:color w:val="auto"/>
                <w:sz w:val="22"/>
                <w:szCs w:val="22"/>
                <w:lang w:val="fr-FR" w:eastAsia="en-US"/>
              </w:rPr>
              <w:tab/>
            </w:r>
          </w:p>
        </w:tc>
        <w:tc>
          <w:tcPr>
            <w:tcW w:w="709" w:type="dxa"/>
          </w:tcPr>
          <w:p w:rsidR="00BB664B" w:rsidRPr="00BB664B" w:rsidRDefault="00BB664B" w:rsidP="00BB664B">
            <w:pPr>
              <w:widowControl w:val="0"/>
              <w:tabs>
                <w:tab w:val="left" w:pos="10080"/>
                <w:tab w:val="left" w:pos="10800"/>
              </w:tabs>
              <w:jc w:val="both"/>
              <w:rPr>
                <w:rFonts w:eastAsia="Calibri" w:cs="Arial"/>
                <w:color w:val="auto"/>
                <w:sz w:val="22"/>
                <w:szCs w:val="22"/>
                <w:lang w:val="fr-FR" w:eastAsia="en-US"/>
              </w:rPr>
            </w:pPr>
            <w:r w:rsidRPr="00BB664B">
              <w:rPr>
                <w:rFonts w:eastAsia="Calibri" w:cs="Arial"/>
                <w:color w:val="auto"/>
                <w:sz w:val="22"/>
                <w:szCs w:val="22"/>
                <w:lang w:val="fr-FR" w:eastAsia="en-US"/>
              </w:rPr>
              <w:t>euros</w:t>
            </w:r>
          </w:p>
        </w:tc>
        <w:tc>
          <w:tcPr>
            <w:tcW w:w="1984" w:type="dxa"/>
            <w:gridSpan w:val="2"/>
          </w:tcPr>
          <w:p w:rsidR="00BB664B" w:rsidRPr="00BB664B" w:rsidRDefault="00BB664B" w:rsidP="00BB664B">
            <w:pPr>
              <w:widowControl w:val="0"/>
              <w:tabs>
                <w:tab w:val="left" w:pos="10080"/>
                <w:tab w:val="left" w:pos="10800"/>
              </w:tabs>
              <w:jc w:val="right"/>
              <w:rPr>
                <w:rFonts w:eastAsia="Calibri" w:cs="Arial"/>
                <w:color w:val="auto"/>
                <w:sz w:val="22"/>
                <w:szCs w:val="22"/>
                <w:lang w:val="fr-FR" w:eastAsia="en-US"/>
              </w:rPr>
            </w:pPr>
            <w:r w:rsidRPr="00BB664B">
              <w:rPr>
                <w:rFonts w:eastAsia="Calibri" w:cs="Arial"/>
                <w:color w:val="auto"/>
                <w:sz w:val="22"/>
                <w:szCs w:val="22"/>
                <w:lang w:val="fr-FR" w:eastAsia="en-US"/>
              </w:rPr>
              <w:t>16 738 915 603</w:t>
            </w:r>
          </w:p>
        </w:tc>
        <w:tc>
          <w:tcPr>
            <w:tcW w:w="213" w:type="dxa"/>
          </w:tcPr>
          <w:p w:rsidR="00BB664B" w:rsidRPr="00BB664B" w:rsidRDefault="00BB664B" w:rsidP="00BB664B">
            <w:pPr>
              <w:widowControl w:val="0"/>
              <w:tabs>
                <w:tab w:val="left" w:pos="10080"/>
                <w:tab w:val="left" w:pos="10800"/>
              </w:tabs>
              <w:jc w:val="both"/>
              <w:rPr>
                <w:rFonts w:ascii="Calibri" w:eastAsia="Calibri" w:hAnsi="Calibri" w:cs="Calibri"/>
                <w:color w:val="auto"/>
                <w:sz w:val="22"/>
                <w:szCs w:val="22"/>
                <w:lang w:val="fr-FR" w:eastAsia="en-US"/>
              </w:rPr>
            </w:pPr>
          </w:p>
        </w:tc>
        <w:tc>
          <w:tcPr>
            <w:tcW w:w="1984" w:type="dxa"/>
          </w:tcPr>
          <w:p w:rsidR="00BB664B" w:rsidRPr="00BB664B" w:rsidRDefault="00BB664B" w:rsidP="00BB664B">
            <w:pPr>
              <w:widowControl w:val="0"/>
              <w:tabs>
                <w:tab w:val="left" w:pos="10080"/>
                <w:tab w:val="left" w:pos="10800"/>
              </w:tabs>
              <w:rPr>
                <w:rFonts w:ascii="Calibri" w:eastAsia="Calibri" w:hAnsi="Calibri" w:cs="Calibri"/>
                <w:color w:val="auto"/>
                <w:sz w:val="22"/>
                <w:szCs w:val="22"/>
                <w:lang w:val="fr-FR" w:eastAsia="en-US"/>
              </w:rPr>
            </w:pPr>
          </w:p>
        </w:tc>
      </w:tr>
      <w:tr w:rsidR="00BB664B" w:rsidRPr="00BB664B" w:rsidTr="00BB664B">
        <w:tc>
          <w:tcPr>
            <w:tcW w:w="4040" w:type="dxa"/>
          </w:tcPr>
          <w:p w:rsidR="00BB664B" w:rsidRPr="00BB664B" w:rsidRDefault="00BB664B" w:rsidP="00BB664B">
            <w:pPr>
              <w:widowControl w:val="0"/>
              <w:tabs>
                <w:tab w:val="left" w:leader="dot" w:pos="3401"/>
                <w:tab w:val="left" w:pos="10080"/>
                <w:tab w:val="left" w:pos="10800"/>
              </w:tabs>
              <w:jc w:val="both"/>
              <w:rPr>
                <w:rFonts w:eastAsia="Calibri" w:cs="Arial"/>
                <w:color w:val="auto"/>
                <w:sz w:val="22"/>
                <w:szCs w:val="22"/>
                <w:lang w:val="fr-FR" w:eastAsia="en-US"/>
              </w:rPr>
            </w:pPr>
            <w:r w:rsidRPr="00BB664B">
              <w:rPr>
                <w:rFonts w:eastAsia="Calibri" w:cs="Arial"/>
                <w:color w:val="auto"/>
                <w:sz w:val="22"/>
                <w:szCs w:val="22"/>
                <w:lang w:val="fr-FR" w:eastAsia="en-US"/>
              </w:rPr>
              <w:t>- Recettes en capital</w:t>
            </w:r>
            <w:r w:rsidRPr="00BB664B">
              <w:rPr>
                <w:rFonts w:eastAsia="Calibri" w:cs="Arial"/>
                <w:color w:val="auto"/>
                <w:sz w:val="22"/>
                <w:szCs w:val="22"/>
                <w:lang w:val="fr-FR" w:eastAsia="en-US"/>
              </w:rPr>
              <w:tab/>
            </w:r>
          </w:p>
        </w:tc>
        <w:tc>
          <w:tcPr>
            <w:tcW w:w="709" w:type="dxa"/>
          </w:tcPr>
          <w:p w:rsidR="00BB664B" w:rsidRPr="00BB664B" w:rsidRDefault="00BB664B" w:rsidP="00BB664B">
            <w:pPr>
              <w:widowControl w:val="0"/>
              <w:tabs>
                <w:tab w:val="left" w:pos="10080"/>
                <w:tab w:val="left" w:pos="10800"/>
              </w:tabs>
              <w:jc w:val="both"/>
              <w:rPr>
                <w:rFonts w:eastAsia="Calibri" w:cs="Arial"/>
                <w:color w:val="auto"/>
                <w:sz w:val="22"/>
                <w:szCs w:val="22"/>
                <w:lang w:val="fr-FR" w:eastAsia="en-US"/>
              </w:rPr>
            </w:pPr>
            <w:r w:rsidRPr="00BB664B">
              <w:rPr>
                <w:rFonts w:eastAsia="Calibri" w:cs="Arial"/>
                <w:color w:val="auto"/>
                <w:sz w:val="22"/>
                <w:szCs w:val="22"/>
                <w:lang w:val="fr-FR" w:eastAsia="en-US"/>
              </w:rPr>
              <w:t>euros</w:t>
            </w:r>
          </w:p>
        </w:tc>
        <w:tc>
          <w:tcPr>
            <w:tcW w:w="1984" w:type="dxa"/>
            <w:gridSpan w:val="2"/>
          </w:tcPr>
          <w:p w:rsidR="00BB664B" w:rsidRPr="00BB664B" w:rsidRDefault="00BB664B" w:rsidP="00BB664B">
            <w:pPr>
              <w:widowControl w:val="0"/>
              <w:tabs>
                <w:tab w:val="left" w:pos="10080"/>
                <w:tab w:val="left" w:pos="10800"/>
              </w:tabs>
              <w:jc w:val="right"/>
              <w:rPr>
                <w:rFonts w:eastAsia="Calibri" w:cs="Arial"/>
                <w:color w:val="auto"/>
                <w:sz w:val="22"/>
                <w:szCs w:val="22"/>
                <w:lang w:val="fr-FR" w:eastAsia="en-US"/>
              </w:rPr>
            </w:pPr>
            <w:r w:rsidRPr="00BB664B">
              <w:rPr>
                <w:rFonts w:eastAsia="Calibri" w:cs="Arial"/>
                <w:color w:val="auto"/>
                <w:sz w:val="22"/>
                <w:szCs w:val="22"/>
                <w:lang w:val="fr-FR" w:eastAsia="en-US"/>
              </w:rPr>
              <w:t>143 445 400</w:t>
            </w:r>
          </w:p>
        </w:tc>
        <w:tc>
          <w:tcPr>
            <w:tcW w:w="213" w:type="dxa"/>
          </w:tcPr>
          <w:p w:rsidR="00BB664B" w:rsidRPr="00BB664B" w:rsidRDefault="00BB664B" w:rsidP="00BB664B">
            <w:pPr>
              <w:widowControl w:val="0"/>
              <w:tabs>
                <w:tab w:val="left" w:pos="10080"/>
                <w:tab w:val="left" w:pos="10800"/>
              </w:tabs>
              <w:jc w:val="both"/>
              <w:rPr>
                <w:rFonts w:ascii="Calibri" w:eastAsia="Calibri" w:hAnsi="Calibri" w:cs="Calibri"/>
                <w:color w:val="auto"/>
                <w:sz w:val="22"/>
                <w:szCs w:val="22"/>
                <w:lang w:val="fr-FR" w:eastAsia="en-US"/>
              </w:rPr>
            </w:pPr>
          </w:p>
        </w:tc>
        <w:tc>
          <w:tcPr>
            <w:tcW w:w="1984" w:type="dxa"/>
          </w:tcPr>
          <w:p w:rsidR="00BB664B" w:rsidRPr="00BB664B" w:rsidRDefault="00BB664B" w:rsidP="00BB664B">
            <w:pPr>
              <w:widowControl w:val="0"/>
              <w:tabs>
                <w:tab w:val="left" w:pos="10080"/>
                <w:tab w:val="left" w:pos="10800"/>
              </w:tabs>
              <w:rPr>
                <w:rFonts w:ascii="Calibri" w:eastAsia="Calibri" w:hAnsi="Calibri" w:cs="Calibri"/>
                <w:color w:val="auto"/>
                <w:sz w:val="22"/>
                <w:szCs w:val="22"/>
                <w:lang w:val="fr-FR" w:eastAsia="en-US"/>
              </w:rPr>
            </w:pPr>
          </w:p>
        </w:tc>
      </w:tr>
      <w:tr w:rsidR="00BB664B" w:rsidRPr="00BB664B" w:rsidTr="00BB664B">
        <w:trPr>
          <w:trHeight w:val="277"/>
        </w:trPr>
        <w:tc>
          <w:tcPr>
            <w:tcW w:w="4040" w:type="dxa"/>
          </w:tcPr>
          <w:p w:rsidR="00BB664B" w:rsidRPr="00BB664B" w:rsidRDefault="00BB664B" w:rsidP="00BB664B">
            <w:pPr>
              <w:widowControl w:val="0"/>
              <w:tabs>
                <w:tab w:val="left" w:leader="dot" w:pos="3401"/>
                <w:tab w:val="left" w:pos="10080"/>
                <w:tab w:val="left" w:pos="10800"/>
              </w:tabs>
              <w:rPr>
                <w:rFonts w:eastAsia="Calibri" w:cs="Arial"/>
                <w:color w:val="auto"/>
                <w:sz w:val="22"/>
                <w:szCs w:val="22"/>
                <w:lang w:val="fr-FR" w:eastAsia="en-US"/>
              </w:rPr>
            </w:pPr>
            <w:r w:rsidRPr="00BB664B">
              <w:rPr>
                <w:rFonts w:eastAsia="Calibri" w:cs="Arial"/>
                <w:color w:val="auto"/>
                <w:sz w:val="22"/>
                <w:szCs w:val="22"/>
                <w:lang w:val="fr-FR" w:eastAsia="en-US"/>
              </w:rPr>
              <w:t>- Recettes des opérations financières</w:t>
            </w:r>
            <w:r w:rsidRPr="00BB664B">
              <w:rPr>
                <w:rFonts w:eastAsia="Calibri" w:cs="Arial"/>
                <w:color w:val="auto"/>
                <w:sz w:val="22"/>
                <w:szCs w:val="22"/>
                <w:lang w:val="fr-FR" w:eastAsia="en-US"/>
              </w:rPr>
              <w:tab/>
            </w:r>
          </w:p>
        </w:tc>
        <w:tc>
          <w:tcPr>
            <w:tcW w:w="709" w:type="dxa"/>
          </w:tcPr>
          <w:p w:rsidR="00BB664B" w:rsidRPr="00BB664B" w:rsidRDefault="00BB664B" w:rsidP="00BB664B">
            <w:pPr>
              <w:widowControl w:val="0"/>
              <w:tabs>
                <w:tab w:val="left" w:pos="10080"/>
                <w:tab w:val="left" w:pos="10800"/>
              </w:tabs>
              <w:jc w:val="both"/>
              <w:rPr>
                <w:rFonts w:eastAsia="Calibri" w:cs="Arial"/>
                <w:color w:val="auto"/>
                <w:sz w:val="22"/>
                <w:szCs w:val="22"/>
                <w:lang w:val="fr-FR" w:eastAsia="en-US"/>
              </w:rPr>
            </w:pPr>
            <w:r w:rsidRPr="00BB664B">
              <w:rPr>
                <w:rFonts w:eastAsia="Calibri" w:cs="Arial"/>
                <w:color w:val="auto"/>
                <w:sz w:val="22"/>
                <w:szCs w:val="22"/>
                <w:lang w:val="fr-FR" w:eastAsia="en-US"/>
              </w:rPr>
              <w:t>euros</w:t>
            </w:r>
          </w:p>
        </w:tc>
        <w:tc>
          <w:tcPr>
            <w:tcW w:w="1984" w:type="dxa"/>
            <w:gridSpan w:val="2"/>
          </w:tcPr>
          <w:p w:rsidR="00BB664B" w:rsidRPr="00BB664B" w:rsidRDefault="00BB664B" w:rsidP="00BB664B">
            <w:pPr>
              <w:widowControl w:val="0"/>
              <w:tabs>
                <w:tab w:val="left" w:pos="10080"/>
                <w:tab w:val="left" w:pos="10800"/>
              </w:tabs>
              <w:jc w:val="right"/>
              <w:rPr>
                <w:rFonts w:eastAsia="Calibri" w:cs="Arial"/>
                <w:color w:val="auto"/>
                <w:sz w:val="22"/>
                <w:szCs w:val="22"/>
                <w:lang w:val="fr-FR" w:eastAsia="en-US"/>
              </w:rPr>
            </w:pPr>
            <w:r w:rsidRPr="00BB664B">
              <w:rPr>
                <w:rFonts w:eastAsia="Calibri" w:cs="Arial"/>
                <w:color w:val="auto"/>
                <w:sz w:val="22"/>
                <w:szCs w:val="22"/>
                <w:lang w:val="fr-FR" w:eastAsia="en-US"/>
              </w:rPr>
              <w:t>2 679 226 400</w:t>
            </w:r>
          </w:p>
        </w:tc>
        <w:tc>
          <w:tcPr>
            <w:tcW w:w="213" w:type="dxa"/>
          </w:tcPr>
          <w:p w:rsidR="00BB664B" w:rsidRPr="00BB664B" w:rsidRDefault="00BB664B" w:rsidP="00BB664B">
            <w:pPr>
              <w:widowControl w:val="0"/>
              <w:tabs>
                <w:tab w:val="left" w:pos="10080"/>
                <w:tab w:val="left" w:pos="10800"/>
              </w:tabs>
              <w:jc w:val="both"/>
              <w:rPr>
                <w:rFonts w:ascii="Calibri" w:eastAsia="Calibri" w:hAnsi="Calibri" w:cs="Calibri"/>
                <w:color w:val="auto"/>
                <w:sz w:val="22"/>
                <w:szCs w:val="22"/>
                <w:lang w:val="fr-FR" w:eastAsia="en-US"/>
              </w:rPr>
            </w:pPr>
          </w:p>
        </w:tc>
        <w:tc>
          <w:tcPr>
            <w:tcW w:w="1984" w:type="dxa"/>
          </w:tcPr>
          <w:p w:rsidR="00BB664B" w:rsidRPr="00BB664B" w:rsidRDefault="00BB664B" w:rsidP="00BB664B">
            <w:pPr>
              <w:widowControl w:val="0"/>
              <w:tabs>
                <w:tab w:val="left" w:pos="10080"/>
                <w:tab w:val="left" w:pos="10800"/>
              </w:tabs>
              <w:rPr>
                <w:rFonts w:ascii="Calibri" w:eastAsia="Calibri" w:hAnsi="Calibri" w:cs="Calibri"/>
                <w:color w:val="auto"/>
                <w:sz w:val="22"/>
                <w:szCs w:val="22"/>
                <w:lang w:val="fr-FR" w:eastAsia="en-US"/>
              </w:rPr>
            </w:pPr>
          </w:p>
        </w:tc>
      </w:tr>
      <w:tr w:rsidR="00BB664B" w:rsidRPr="00BB664B" w:rsidTr="00BB664B">
        <w:trPr>
          <w:trHeight w:val="277"/>
        </w:trPr>
        <w:tc>
          <w:tcPr>
            <w:tcW w:w="4040" w:type="dxa"/>
          </w:tcPr>
          <w:p w:rsidR="00BB664B" w:rsidRPr="00BB664B" w:rsidRDefault="00BB664B" w:rsidP="00BB664B">
            <w:pPr>
              <w:widowControl w:val="0"/>
              <w:tabs>
                <w:tab w:val="left" w:leader="dot" w:pos="2835"/>
                <w:tab w:val="left" w:leader="dot" w:pos="3401"/>
                <w:tab w:val="left" w:pos="10080"/>
                <w:tab w:val="left" w:pos="10800"/>
              </w:tabs>
              <w:ind w:firstLine="737"/>
              <w:jc w:val="both"/>
              <w:rPr>
                <w:rFonts w:eastAsia="Calibri" w:cs="Arial"/>
                <w:color w:val="auto"/>
                <w:sz w:val="22"/>
                <w:szCs w:val="22"/>
                <w:lang w:val="fr-FR" w:eastAsia="en-US"/>
              </w:rPr>
            </w:pPr>
          </w:p>
        </w:tc>
        <w:tc>
          <w:tcPr>
            <w:tcW w:w="850" w:type="dxa"/>
            <w:gridSpan w:val="2"/>
          </w:tcPr>
          <w:p w:rsidR="00BB664B" w:rsidRPr="00BB664B" w:rsidRDefault="00BB664B" w:rsidP="00BB664B">
            <w:pPr>
              <w:widowControl w:val="0"/>
              <w:tabs>
                <w:tab w:val="left" w:pos="10080"/>
                <w:tab w:val="left" w:pos="10800"/>
              </w:tabs>
              <w:jc w:val="both"/>
              <w:rPr>
                <w:rFonts w:eastAsia="Calibri" w:cs="Arial"/>
                <w:color w:val="auto"/>
                <w:sz w:val="22"/>
                <w:szCs w:val="22"/>
                <w:lang w:val="fr-FR" w:eastAsia="en-US"/>
              </w:rPr>
            </w:pPr>
          </w:p>
        </w:tc>
        <w:tc>
          <w:tcPr>
            <w:tcW w:w="1843" w:type="dxa"/>
          </w:tcPr>
          <w:p w:rsidR="00BB664B" w:rsidRPr="00BB664B" w:rsidRDefault="00BB664B" w:rsidP="00BB664B">
            <w:pPr>
              <w:widowControl w:val="0"/>
              <w:tabs>
                <w:tab w:val="left" w:pos="10080"/>
                <w:tab w:val="left" w:pos="10800"/>
              </w:tabs>
              <w:jc w:val="right"/>
              <w:rPr>
                <w:rFonts w:eastAsia="Calibri" w:cs="Arial"/>
                <w:color w:val="auto"/>
                <w:sz w:val="22"/>
                <w:szCs w:val="22"/>
                <w:lang w:val="fr-FR" w:eastAsia="en-US"/>
              </w:rPr>
            </w:pPr>
          </w:p>
        </w:tc>
        <w:tc>
          <w:tcPr>
            <w:tcW w:w="213" w:type="dxa"/>
          </w:tcPr>
          <w:p w:rsidR="00BB664B" w:rsidRPr="00BB664B" w:rsidRDefault="00BB664B" w:rsidP="00BB664B">
            <w:pPr>
              <w:widowControl w:val="0"/>
              <w:tabs>
                <w:tab w:val="left" w:pos="10080"/>
                <w:tab w:val="left" w:pos="10800"/>
              </w:tabs>
              <w:jc w:val="both"/>
              <w:rPr>
                <w:rFonts w:ascii="Calibri" w:eastAsia="Calibri" w:hAnsi="Calibri" w:cs="Calibri"/>
                <w:color w:val="auto"/>
                <w:sz w:val="22"/>
                <w:szCs w:val="22"/>
                <w:lang w:val="fr-FR" w:eastAsia="en-US"/>
              </w:rPr>
            </w:pPr>
          </w:p>
        </w:tc>
        <w:tc>
          <w:tcPr>
            <w:tcW w:w="1984" w:type="dxa"/>
          </w:tcPr>
          <w:p w:rsidR="00BB664B" w:rsidRPr="00BB664B" w:rsidRDefault="00BB664B" w:rsidP="00BB664B">
            <w:pPr>
              <w:widowControl w:val="0"/>
              <w:tabs>
                <w:tab w:val="left" w:pos="10080"/>
                <w:tab w:val="left" w:pos="10800"/>
              </w:tabs>
              <w:rPr>
                <w:rFonts w:ascii="Calibri" w:eastAsia="Calibri" w:hAnsi="Calibri" w:cs="Calibri"/>
                <w:color w:val="auto"/>
                <w:sz w:val="22"/>
                <w:szCs w:val="22"/>
                <w:lang w:val="fr-FR" w:eastAsia="en-US"/>
              </w:rPr>
            </w:pPr>
          </w:p>
        </w:tc>
      </w:tr>
      <w:tr w:rsidR="00BB664B" w:rsidRPr="00BB664B" w:rsidTr="00BB664B">
        <w:tc>
          <w:tcPr>
            <w:tcW w:w="4040" w:type="dxa"/>
          </w:tcPr>
          <w:p w:rsidR="00BB664B" w:rsidRPr="00BB664B" w:rsidRDefault="00BB664B" w:rsidP="00BB664B">
            <w:pPr>
              <w:widowControl w:val="0"/>
              <w:tabs>
                <w:tab w:val="left" w:leader="dot" w:pos="3401"/>
                <w:tab w:val="left" w:pos="10080"/>
                <w:tab w:val="left" w:pos="10800"/>
              </w:tabs>
              <w:jc w:val="both"/>
              <w:rPr>
                <w:rFonts w:eastAsia="Calibri" w:cs="Arial"/>
                <w:color w:val="auto"/>
                <w:sz w:val="22"/>
                <w:szCs w:val="22"/>
                <w:lang w:val="fr-FR" w:eastAsia="en-US"/>
              </w:rPr>
            </w:pPr>
            <w:r w:rsidRPr="00BB664B">
              <w:rPr>
                <w:rFonts w:eastAsia="Calibri" w:cs="Arial"/>
                <w:color w:val="auto"/>
                <w:sz w:val="22"/>
                <w:szCs w:val="22"/>
                <w:lang w:val="fr-FR" w:eastAsia="en-US"/>
              </w:rPr>
              <w:t xml:space="preserve">- Dépenses courantes </w:t>
            </w:r>
            <w:r w:rsidRPr="00BB664B">
              <w:rPr>
                <w:rFonts w:eastAsia="Calibri" w:cs="Arial"/>
                <w:color w:val="auto"/>
                <w:sz w:val="22"/>
                <w:szCs w:val="22"/>
                <w:lang w:val="fr-FR" w:eastAsia="en-US"/>
              </w:rPr>
              <w:tab/>
            </w:r>
          </w:p>
        </w:tc>
        <w:tc>
          <w:tcPr>
            <w:tcW w:w="850" w:type="dxa"/>
            <w:gridSpan w:val="2"/>
          </w:tcPr>
          <w:p w:rsidR="00BB664B" w:rsidRPr="00BB664B" w:rsidRDefault="00BB664B" w:rsidP="00BB664B">
            <w:pPr>
              <w:widowControl w:val="0"/>
              <w:tabs>
                <w:tab w:val="left" w:pos="10080"/>
                <w:tab w:val="left" w:pos="10800"/>
              </w:tabs>
              <w:jc w:val="both"/>
              <w:rPr>
                <w:rFonts w:eastAsia="Calibri" w:cs="Arial"/>
                <w:color w:val="auto"/>
                <w:sz w:val="22"/>
                <w:szCs w:val="22"/>
                <w:lang w:val="fr-FR" w:eastAsia="en-US"/>
              </w:rPr>
            </w:pPr>
            <w:r w:rsidRPr="00BB664B">
              <w:rPr>
                <w:rFonts w:eastAsia="Calibri" w:cs="Arial"/>
                <w:color w:val="auto"/>
                <w:sz w:val="22"/>
                <w:szCs w:val="22"/>
                <w:lang w:val="fr-FR" w:eastAsia="en-US"/>
              </w:rPr>
              <w:t>euros</w:t>
            </w:r>
          </w:p>
        </w:tc>
        <w:tc>
          <w:tcPr>
            <w:tcW w:w="1843" w:type="dxa"/>
          </w:tcPr>
          <w:p w:rsidR="00BB664B" w:rsidRPr="00BB664B" w:rsidRDefault="00BB664B" w:rsidP="00BB664B">
            <w:pPr>
              <w:widowControl w:val="0"/>
              <w:tabs>
                <w:tab w:val="left" w:pos="10080"/>
                <w:tab w:val="left" w:pos="10800"/>
              </w:tabs>
              <w:jc w:val="right"/>
              <w:rPr>
                <w:rFonts w:eastAsia="Calibri" w:cs="Arial"/>
                <w:color w:val="auto"/>
                <w:sz w:val="22"/>
                <w:szCs w:val="22"/>
                <w:lang w:val="fr-FR" w:eastAsia="en-US"/>
              </w:rPr>
            </w:pPr>
            <w:r w:rsidRPr="00BB664B">
              <w:rPr>
                <w:rFonts w:eastAsia="Calibri" w:cs="Arial"/>
                <w:color w:val="auto"/>
                <w:sz w:val="22"/>
                <w:szCs w:val="22"/>
                <w:lang w:val="fr-FR" w:eastAsia="en-US"/>
              </w:rPr>
              <w:t>16 876 274 890</w:t>
            </w:r>
          </w:p>
        </w:tc>
        <w:tc>
          <w:tcPr>
            <w:tcW w:w="213" w:type="dxa"/>
          </w:tcPr>
          <w:p w:rsidR="00BB664B" w:rsidRPr="00BB664B" w:rsidRDefault="00BB664B" w:rsidP="00BB664B">
            <w:pPr>
              <w:widowControl w:val="0"/>
              <w:tabs>
                <w:tab w:val="left" w:pos="10080"/>
                <w:tab w:val="left" w:pos="10800"/>
              </w:tabs>
              <w:jc w:val="both"/>
              <w:rPr>
                <w:rFonts w:ascii="Calibri" w:eastAsia="Calibri" w:hAnsi="Calibri" w:cs="Calibri"/>
                <w:color w:val="auto"/>
                <w:sz w:val="22"/>
                <w:szCs w:val="22"/>
                <w:lang w:val="fr-FR" w:eastAsia="en-US"/>
              </w:rPr>
            </w:pPr>
          </w:p>
        </w:tc>
        <w:tc>
          <w:tcPr>
            <w:tcW w:w="1984" w:type="dxa"/>
          </w:tcPr>
          <w:p w:rsidR="00BB664B" w:rsidRPr="00BB664B" w:rsidRDefault="00BB664B" w:rsidP="00BB664B">
            <w:pPr>
              <w:widowControl w:val="0"/>
              <w:tabs>
                <w:tab w:val="left" w:pos="10080"/>
                <w:tab w:val="left" w:pos="10800"/>
              </w:tabs>
              <w:jc w:val="right"/>
              <w:rPr>
                <w:rFonts w:ascii="Calibri" w:eastAsia="Calibri" w:hAnsi="Calibri" w:cs="Calibri"/>
                <w:color w:val="auto"/>
                <w:sz w:val="22"/>
                <w:szCs w:val="22"/>
                <w:lang w:val="fr-FR" w:eastAsia="en-US"/>
              </w:rPr>
            </w:pPr>
          </w:p>
        </w:tc>
      </w:tr>
      <w:tr w:rsidR="00BB664B" w:rsidRPr="00BB664B" w:rsidTr="00BB664B">
        <w:tc>
          <w:tcPr>
            <w:tcW w:w="4040" w:type="dxa"/>
          </w:tcPr>
          <w:p w:rsidR="00BB664B" w:rsidRPr="00BB664B" w:rsidRDefault="00BB664B" w:rsidP="00BB664B">
            <w:pPr>
              <w:widowControl w:val="0"/>
              <w:tabs>
                <w:tab w:val="left" w:leader="dot" w:pos="3401"/>
                <w:tab w:val="left" w:leader="dot" w:pos="3473"/>
                <w:tab w:val="left" w:pos="10080"/>
                <w:tab w:val="left" w:pos="10800"/>
              </w:tabs>
              <w:jc w:val="both"/>
              <w:rPr>
                <w:rFonts w:eastAsia="Calibri" w:cs="Arial"/>
                <w:color w:val="auto"/>
                <w:sz w:val="22"/>
                <w:szCs w:val="22"/>
                <w:lang w:val="fr-FR" w:eastAsia="en-US"/>
              </w:rPr>
            </w:pPr>
            <w:r w:rsidRPr="00BB664B">
              <w:rPr>
                <w:rFonts w:eastAsia="Calibri" w:cs="Arial"/>
                <w:color w:val="auto"/>
                <w:sz w:val="22"/>
                <w:szCs w:val="22"/>
                <w:lang w:val="fr-FR" w:eastAsia="en-US"/>
              </w:rPr>
              <w:t xml:space="preserve">- Dépenses en capital </w:t>
            </w:r>
            <w:r w:rsidRPr="00BB664B">
              <w:rPr>
                <w:rFonts w:eastAsia="Calibri" w:cs="Arial"/>
                <w:color w:val="auto"/>
                <w:sz w:val="22"/>
                <w:szCs w:val="22"/>
                <w:lang w:val="fr-FR" w:eastAsia="en-US"/>
              </w:rPr>
              <w:tab/>
            </w:r>
          </w:p>
        </w:tc>
        <w:tc>
          <w:tcPr>
            <w:tcW w:w="850" w:type="dxa"/>
            <w:gridSpan w:val="2"/>
          </w:tcPr>
          <w:p w:rsidR="00BB664B" w:rsidRPr="00BB664B" w:rsidRDefault="00BB664B" w:rsidP="00BB664B">
            <w:pPr>
              <w:widowControl w:val="0"/>
              <w:tabs>
                <w:tab w:val="left" w:pos="10080"/>
                <w:tab w:val="left" w:pos="10800"/>
              </w:tabs>
              <w:jc w:val="both"/>
              <w:rPr>
                <w:rFonts w:eastAsia="Calibri" w:cs="Arial"/>
                <w:color w:val="auto"/>
                <w:sz w:val="22"/>
                <w:szCs w:val="22"/>
                <w:lang w:val="fr-FR" w:eastAsia="en-US"/>
              </w:rPr>
            </w:pPr>
            <w:r w:rsidRPr="00BB664B">
              <w:rPr>
                <w:rFonts w:eastAsia="Calibri" w:cs="Arial"/>
                <w:color w:val="auto"/>
                <w:sz w:val="22"/>
                <w:szCs w:val="22"/>
                <w:lang w:val="fr-FR" w:eastAsia="en-US"/>
              </w:rPr>
              <w:t>euros</w:t>
            </w:r>
          </w:p>
        </w:tc>
        <w:tc>
          <w:tcPr>
            <w:tcW w:w="1843" w:type="dxa"/>
          </w:tcPr>
          <w:p w:rsidR="00BB664B" w:rsidRPr="00BB664B" w:rsidRDefault="00BB664B" w:rsidP="00BB664B">
            <w:pPr>
              <w:widowControl w:val="0"/>
              <w:tabs>
                <w:tab w:val="left" w:pos="10080"/>
                <w:tab w:val="left" w:pos="10800"/>
              </w:tabs>
              <w:jc w:val="right"/>
              <w:rPr>
                <w:rFonts w:eastAsia="Calibri" w:cs="Arial"/>
                <w:color w:val="auto"/>
                <w:sz w:val="22"/>
                <w:szCs w:val="22"/>
                <w:lang w:val="fr-FR" w:eastAsia="en-US"/>
              </w:rPr>
            </w:pPr>
            <w:r w:rsidRPr="00BB664B">
              <w:rPr>
                <w:rFonts w:eastAsia="Calibri" w:cs="Arial"/>
                <w:color w:val="auto"/>
                <w:sz w:val="22"/>
                <w:szCs w:val="22"/>
                <w:lang w:val="fr-FR" w:eastAsia="en-US"/>
              </w:rPr>
              <w:t>2 466 734 092</w:t>
            </w:r>
          </w:p>
        </w:tc>
        <w:tc>
          <w:tcPr>
            <w:tcW w:w="213" w:type="dxa"/>
          </w:tcPr>
          <w:p w:rsidR="00BB664B" w:rsidRPr="00BB664B" w:rsidRDefault="00BB664B" w:rsidP="00BB664B">
            <w:pPr>
              <w:widowControl w:val="0"/>
              <w:tabs>
                <w:tab w:val="left" w:pos="10080"/>
                <w:tab w:val="left" w:pos="10800"/>
              </w:tabs>
              <w:jc w:val="both"/>
              <w:rPr>
                <w:rFonts w:ascii="Calibri" w:eastAsia="Calibri" w:hAnsi="Calibri" w:cs="Calibri"/>
                <w:color w:val="auto"/>
                <w:sz w:val="22"/>
                <w:szCs w:val="22"/>
                <w:lang w:val="fr-FR" w:eastAsia="en-US"/>
              </w:rPr>
            </w:pPr>
          </w:p>
        </w:tc>
        <w:tc>
          <w:tcPr>
            <w:tcW w:w="1984" w:type="dxa"/>
          </w:tcPr>
          <w:p w:rsidR="00BB664B" w:rsidRPr="00BB664B" w:rsidRDefault="00BB664B" w:rsidP="00BB664B">
            <w:pPr>
              <w:widowControl w:val="0"/>
              <w:tabs>
                <w:tab w:val="left" w:pos="10080"/>
                <w:tab w:val="left" w:pos="10800"/>
              </w:tabs>
              <w:jc w:val="right"/>
              <w:rPr>
                <w:rFonts w:ascii="Calibri" w:eastAsia="Calibri" w:hAnsi="Calibri" w:cs="Calibri"/>
                <w:color w:val="auto"/>
                <w:sz w:val="22"/>
                <w:szCs w:val="22"/>
                <w:lang w:val="fr-FR" w:eastAsia="en-US"/>
              </w:rPr>
            </w:pPr>
          </w:p>
        </w:tc>
      </w:tr>
      <w:tr w:rsidR="00BB664B" w:rsidRPr="00BB664B" w:rsidTr="00BB664B">
        <w:tc>
          <w:tcPr>
            <w:tcW w:w="4040" w:type="dxa"/>
          </w:tcPr>
          <w:p w:rsidR="00BB664B" w:rsidRPr="00BB664B" w:rsidRDefault="00BB664B" w:rsidP="00BB664B">
            <w:pPr>
              <w:widowControl w:val="0"/>
              <w:tabs>
                <w:tab w:val="left" w:leader="dot" w:pos="3401"/>
                <w:tab w:val="left" w:pos="10080"/>
                <w:tab w:val="left" w:pos="10800"/>
              </w:tabs>
              <w:rPr>
                <w:rFonts w:eastAsia="Calibri" w:cs="Arial"/>
                <w:color w:val="auto"/>
                <w:sz w:val="22"/>
                <w:szCs w:val="22"/>
                <w:lang w:val="fr-FR" w:eastAsia="en-US"/>
              </w:rPr>
            </w:pPr>
            <w:r w:rsidRPr="00BB664B">
              <w:rPr>
                <w:rFonts w:eastAsia="Calibri" w:cs="Arial"/>
                <w:color w:val="auto"/>
                <w:sz w:val="22"/>
                <w:szCs w:val="22"/>
                <w:lang w:val="fr-FR" w:eastAsia="en-US"/>
              </w:rPr>
              <w:t>- Dépenses des opérations financières</w:t>
            </w:r>
          </w:p>
        </w:tc>
        <w:tc>
          <w:tcPr>
            <w:tcW w:w="850" w:type="dxa"/>
            <w:gridSpan w:val="2"/>
          </w:tcPr>
          <w:p w:rsidR="00BB664B" w:rsidRPr="00BB664B" w:rsidRDefault="00BB664B" w:rsidP="00BB664B">
            <w:pPr>
              <w:widowControl w:val="0"/>
              <w:tabs>
                <w:tab w:val="left" w:pos="10080"/>
                <w:tab w:val="left" w:pos="10800"/>
              </w:tabs>
              <w:jc w:val="both"/>
              <w:rPr>
                <w:rFonts w:eastAsia="Calibri" w:cs="Arial"/>
                <w:color w:val="auto"/>
                <w:sz w:val="22"/>
                <w:szCs w:val="22"/>
                <w:lang w:val="fr-FR" w:eastAsia="en-US"/>
              </w:rPr>
            </w:pPr>
            <w:r w:rsidRPr="00BB664B">
              <w:rPr>
                <w:rFonts w:eastAsia="Calibri" w:cs="Arial"/>
                <w:color w:val="auto"/>
                <w:sz w:val="22"/>
                <w:szCs w:val="22"/>
                <w:lang w:val="fr-FR" w:eastAsia="en-US"/>
              </w:rPr>
              <w:t>euros</w:t>
            </w:r>
          </w:p>
        </w:tc>
        <w:tc>
          <w:tcPr>
            <w:tcW w:w="1843" w:type="dxa"/>
          </w:tcPr>
          <w:p w:rsidR="00BB664B" w:rsidRPr="00BB664B" w:rsidRDefault="00BB664B" w:rsidP="00BB664B">
            <w:pPr>
              <w:widowControl w:val="0"/>
              <w:tabs>
                <w:tab w:val="left" w:pos="10080"/>
                <w:tab w:val="left" w:pos="10800"/>
              </w:tabs>
              <w:jc w:val="right"/>
              <w:rPr>
                <w:rFonts w:eastAsia="Calibri" w:cs="Arial"/>
                <w:color w:val="auto"/>
                <w:sz w:val="22"/>
                <w:szCs w:val="22"/>
                <w:lang w:val="fr-FR" w:eastAsia="en-US"/>
              </w:rPr>
            </w:pPr>
            <w:r w:rsidRPr="00BB664B">
              <w:rPr>
                <w:rFonts w:eastAsia="Calibri" w:cs="Arial"/>
                <w:color w:val="auto"/>
                <w:sz w:val="22"/>
                <w:szCs w:val="22"/>
                <w:lang w:val="fr-FR" w:eastAsia="en-US"/>
              </w:rPr>
              <w:t>233 565 350</w:t>
            </w:r>
          </w:p>
        </w:tc>
        <w:tc>
          <w:tcPr>
            <w:tcW w:w="213" w:type="dxa"/>
          </w:tcPr>
          <w:p w:rsidR="00BB664B" w:rsidRPr="00BB664B" w:rsidRDefault="00BB664B" w:rsidP="00BB664B">
            <w:pPr>
              <w:widowControl w:val="0"/>
              <w:tabs>
                <w:tab w:val="left" w:pos="10080"/>
                <w:tab w:val="left" w:pos="10800"/>
              </w:tabs>
              <w:jc w:val="both"/>
              <w:rPr>
                <w:rFonts w:ascii="Calibri" w:eastAsia="Calibri" w:hAnsi="Calibri" w:cs="Calibri"/>
                <w:color w:val="auto"/>
                <w:sz w:val="22"/>
                <w:szCs w:val="22"/>
                <w:lang w:val="fr-FR" w:eastAsia="en-US"/>
              </w:rPr>
            </w:pPr>
          </w:p>
        </w:tc>
        <w:tc>
          <w:tcPr>
            <w:tcW w:w="1984" w:type="dxa"/>
          </w:tcPr>
          <w:p w:rsidR="00BB664B" w:rsidRPr="00BB664B" w:rsidRDefault="00BB664B" w:rsidP="00BB664B">
            <w:pPr>
              <w:widowControl w:val="0"/>
              <w:tabs>
                <w:tab w:val="left" w:pos="10080"/>
                <w:tab w:val="left" w:pos="10800"/>
              </w:tabs>
              <w:jc w:val="right"/>
              <w:rPr>
                <w:rFonts w:ascii="Calibri" w:eastAsia="Calibri" w:hAnsi="Calibri" w:cs="Calibri"/>
                <w:color w:val="auto"/>
                <w:sz w:val="22"/>
                <w:szCs w:val="22"/>
                <w:lang w:val="fr-FR" w:eastAsia="en-US"/>
              </w:rPr>
            </w:pPr>
          </w:p>
        </w:tc>
      </w:tr>
    </w:tbl>
    <w:p w:rsidR="005B6707" w:rsidRDefault="005B6707" w:rsidP="00FA59ED">
      <w:pPr>
        <w:jc w:val="both"/>
        <w:rPr>
          <w:rFonts w:cs="Arial"/>
          <w:color w:val="FF0000"/>
          <w:sz w:val="22"/>
          <w:szCs w:val="22"/>
          <w:u w:val="single"/>
          <w:lang w:val="fr-FR"/>
        </w:rPr>
      </w:pPr>
    </w:p>
    <w:p w:rsidR="002358A6" w:rsidRDefault="002358A6" w:rsidP="00FA59ED">
      <w:pPr>
        <w:jc w:val="both"/>
        <w:rPr>
          <w:rFonts w:cs="Arial"/>
          <w:color w:val="FF0000"/>
          <w:sz w:val="22"/>
          <w:szCs w:val="22"/>
          <w:u w:val="single"/>
          <w:lang w:val="fr-FR"/>
        </w:rPr>
      </w:pPr>
    </w:p>
    <w:p w:rsidR="005B6707" w:rsidRPr="003D232F" w:rsidRDefault="005B6707" w:rsidP="005B6707">
      <w:pPr>
        <w:jc w:val="both"/>
        <w:rPr>
          <w:rFonts w:cs="Arial"/>
          <w:sz w:val="22"/>
          <w:szCs w:val="22"/>
          <w:lang w:val="fr-FR"/>
        </w:rPr>
      </w:pPr>
      <w:r w:rsidRPr="003D232F">
        <w:rPr>
          <w:rFonts w:cs="Arial"/>
          <w:color w:val="auto"/>
          <w:sz w:val="22"/>
          <w:szCs w:val="22"/>
          <w:u w:val="single"/>
          <w:lang w:val="fr-FR"/>
        </w:rPr>
        <w:t>L’article 3</w:t>
      </w:r>
      <w:r w:rsidRPr="003D232F">
        <w:rPr>
          <w:rFonts w:cs="Arial"/>
          <w:color w:val="auto"/>
          <w:sz w:val="22"/>
          <w:szCs w:val="22"/>
          <w:lang w:val="fr-FR"/>
        </w:rPr>
        <w:t xml:space="preserve"> prévoit que </w:t>
      </w:r>
      <w:r w:rsidRPr="003D232F">
        <w:rPr>
          <w:rFonts w:cs="Arial"/>
          <w:sz w:val="22"/>
          <w:szCs w:val="22"/>
          <w:lang w:val="fr-FR"/>
        </w:rPr>
        <w:t xml:space="preserve">le </w:t>
      </w:r>
      <w:r w:rsidRPr="003D232F">
        <w:rPr>
          <w:rFonts w:cs="Arial"/>
          <w:sz w:val="22"/>
          <w:szCs w:val="22"/>
          <w:u w:val="single"/>
          <w:lang w:val="fr-FR"/>
        </w:rPr>
        <w:t>taux d’amortissement accéléré</w:t>
      </w:r>
      <w:r w:rsidRPr="003D232F">
        <w:rPr>
          <w:rFonts w:cs="Arial"/>
          <w:sz w:val="22"/>
          <w:szCs w:val="22"/>
          <w:lang w:val="fr-FR"/>
        </w:rPr>
        <w:t xml:space="preserve"> qu’il est admis de pratiquer à l’endroit d’immeubles ou parties d’immeubles bâtis, affectés au logement locatif, ne sera plus que de </w:t>
      </w:r>
      <w:r w:rsidRPr="003D232F">
        <w:rPr>
          <w:rFonts w:cs="Arial"/>
          <w:sz w:val="22"/>
          <w:szCs w:val="22"/>
          <w:u w:val="single"/>
          <w:lang w:val="fr-FR"/>
        </w:rPr>
        <w:t>4%</w:t>
      </w:r>
      <w:r w:rsidRPr="003D232F">
        <w:rPr>
          <w:rFonts w:cs="Arial"/>
          <w:sz w:val="22"/>
          <w:szCs w:val="22"/>
          <w:lang w:val="fr-FR"/>
        </w:rPr>
        <w:t xml:space="preserve">. Ce taux de 4% pourra seulement être applicable si l’achèvement remonte au début de l’exercice d’exploitation à moins de 5 ans. Par rapport aux dispositions actuellement en vigueur, le taux d’amortissement accéléré passe donc de 6% à 4% et l’âge maximal de l’immeuble bâti au début de l’exercice d’exploitation de 6 à 5 ans. L’article introduit également la notion de « </w:t>
      </w:r>
      <w:r w:rsidRPr="003D232F">
        <w:rPr>
          <w:rFonts w:cs="Arial"/>
          <w:sz w:val="22"/>
          <w:szCs w:val="22"/>
          <w:u w:val="single"/>
          <w:lang w:val="fr-FR"/>
        </w:rPr>
        <w:t>rénovation énergétique durable</w:t>
      </w:r>
      <w:r w:rsidRPr="003D232F">
        <w:rPr>
          <w:rFonts w:cs="Arial"/>
          <w:sz w:val="22"/>
          <w:szCs w:val="22"/>
          <w:lang w:val="fr-FR"/>
        </w:rPr>
        <w:t xml:space="preserve"> » et dispose qu’un taux d’amortissement de </w:t>
      </w:r>
      <w:r w:rsidRPr="003D232F">
        <w:rPr>
          <w:rFonts w:cs="Arial"/>
          <w:sz w:val="22"/>
          <w:szCs w:val="22"/>
          <w:u w:val="single"/>
          <w:lang w:val="fr-FR"/>
        </w:rPr>
        <w:t>6%</w:t>
      </w:r>
      <w:r w:rsidRPr="003D232F">
        <w:rPr>
          <w:rFonts w:cs="Arial"/>
          <w:sz w:val="22"/>
          <w:szCs w:val="22"/>
          <w:lang w:val="fr-FR"/>
        </w:rPr>
        <w:t xml:space="preserve"> est</w:t>
      </w:r>
      <w:r w:rsidR="003D232F" w:rsidRPr="003D232F">
        <w:rPr>
          <w:rFonts w:cs="Arial"/>
          <w:sz w:val="22"/>
          <w:szCs w:val="22"/>
          <w:lang w:val="fr-FR"/>
        </w:rPr>
        <w:t xml:space="preserve"> </w:t>
      </w:r>
      <w:r w:rsidRPr="003D232F">
        <w:rPr>
          <w:rFonts w:cs="Arial"/>
          <w:sz w:val="22"/>
          <w:szCs w:val="22"/>
          <w:lang w:val="fr-FR"/>
        </w:rPr>
        <w:t>admis à l’endroit de dépenses d’investissement relatives à une rénovation énergétique durable d’un immeuble bâti affecté au logement locatif si l’achèvement des travaux de rénovation remonte au 1</w:t>
      </w:r>
      <w:r w:rsidRPr="003D232F">
        <w:rPr>
          <w:rFonts w:cs="Arial"/>
          <w:sz w:val="22"/>
          <w:szCs w:val="22"/>
          <w:vertAlign w:val="superscript"/>
          <w:lang w:val="fr-FR"/>
        </w:rPr>
        <w:t>er</w:t>
      </w:r>
      <w:r w:rsidRPr="003D232F">
        <w:rPr>
          <w:rFonts w:cs="Arial"/>
          <w:sz w:val="22"/>
          <w:szCs w:val="22"/>
          <w:lang w:val="fr-FR"/>
        </w:rPr>
        <w:t xml:space="preserve"> janvier de l’année d’imposition à moins de 9 ans. </w:t>
      </w:r>
      <w:r w:rsidR="003D232F" w:rsidRPr="003D232F">
        <w:rPr>
          <w:rFonts w:cs="Arial"/>
          <w:sz w:val="22"/>
          <w:szCs w:val="22"/>
          <w:lang w:val="fr-FR"/>
        </w:rPr>
        <w:t>Le contribuable qui a acquis ou constitué avant le 1</w:t>
      </w:r>
      <w:r w:rsidR="003D232F" w:rsidRPr="003D232F">
        <w:rPr>
          <w:rFonts w:cs="Arial"/>
          <w:sz w:val="22"/>
          <w:szCs w:val="22"/>
          <w:vertAlign w:val="superscript"/>
          <w:lang w:val="fr-FR"/>
        </w:rPr>
        <w:t>er</w:t>
      </w:r>
      <w:r w:rsidR="003D232F" w:rsidRPr="003D232F">
        <w:rPr>
          <w:rFonts w:cs="Arial"/>
          <w:sz w:val="22"/>
          <w:szCs w:val="22"/>
          <w:lang w:val="fr-FR"/>
        </w:rPr>
        <w:t xml:space="preserve"> janvier 2021 un immeuble bâti affecté au logement locatif pourra encore profiter du taux d’amortissement accéléré de 6% si toutes les conditions sont remplies.</w:t>
      </w:r>
    </w:p>
    <w:p w:rsidR="005B6707" w:rsidRPr="003D232F" w:rsidRDefault="005B6707" w:rsidP="005B6707">
      <w:pPr>
        <w:jc w:val="both"/>
        <w:rPr>
          <w:rFonts w:cs="Arial"/>
          <w:sz w:val="22"/>
          <w:szCs w:val="22"/>
          <w:lang w:val="fr-FR"/>
        </w:rPr>
      </w:pPr>
    </w:p>
    <w:p w:rsidR="002358A6" w:rsidRPr="002358A6" w:rsidRDefault="002358A6" w:rsidP="002358A6">
      <w:pPr>
        <w:jc w:val="both"/>
        <w:rPr>
          <w:rFonts w:eastAsia="Arial" w:cs="Arial"/>
          <w:sz w:val="22"/>
          <w:szCs w:val="22"/>
          <w:lang w:val="fr-LU"/>
        </w:rPr>
      </w:pPr>
      <w:r>
        <w:rPr>
          <w:rFonts w:eastAsia="Arial" w:cs="Arial"/>
          <w:sz w:val="22"/>
          <w:lang w:val="fr-LU"/>
        </w:rPr>
        <w:t xml:space="preserve">L’article 3 permet </w:t>
      </w:r>
      <w:r w:rsidRPr="002358A6">
        <w:rPr>
          <w:rFonts w:eastAsia="Arial" w:cs="Arial"/>
          <w:sz w:val="22"/>
          <w:lang w:val="fr-LU"/>
        </w:rPr>
        <w:t xml:space="preserve">d’exempter les contribuables impatriés sur certains coûts générés par leur déménagement de l’étranger vers le </w:t>
      </w:r>
      <w:r>
        <w:rPr>
          <w:rFonts w:eastAsia="Arial" w:cs="Arial"/>
          <w:sz w:val="22"/>
          <w:lang w:val="fr-LU"/>
        </w:rPr>
        <w:t xml:space="preserve">Luxembourg. </w:t>
      </w:r>
      <w:r w:rsidRPr="006A1522">
        <w:rPr>
          <w:rFonts w:cs="Calibri"/>
          <w:iCs/>
          <w:sz w:val="22"/>
          <w:szCs w:val="22"/>
          <w:lang w:val="fr-LU"/>
        </w:rPr>
        <w:t xml:space="preserve">L’employeur peut payer une </w:t>
      </w:r>
      <w:r w:rsidRPr="006A1522">
        <w:rPr>
          <w:rFonts w:cs="Calibri"/>
          <w:iCs/>
          <w:sz w:val="22"/>
          <w:szCs w:val="22"/>
          <w:u w:val="single"/>
          <w:lang w:val="fr-LU"/>
        </w:rPr>
        <w:t>prime d’impatriation</w:t>
      </w:r>
      <w:r w:rsidRPr="006A1522">
        <w:rPr>
          <w:rFonts w:cs="Calibri"/>
          <w:iCs/>
          <w:sz w:val="22"/>
          <w:szCs w:val="22"/>
          <w:lang w:val="fr-LU"/>
        </w:rPr>
        <w:t xml:space="preserve"> à l’impatrié.</w:t>
      </w:r>
      <w:r w:rsidRPr="002358A6">
        <w:rPr>
          <w:rFonts w:eastAsia="Arial" w:cs="Arial"/>
          <w:sz w:val="22"/>
          <w:szCs w:val="22"/>
          <w:lang w:val="fr-LU"/>
        </w:rPr>
        <w:t xml:space="preserve"> Sont </w:t>
      </w:r>
      <w:r w:rsidRPr="00956BA3">
        <w:rPr>
          <w:rFonts w:eastAsia="Arial" w:cs="Arial"/>
          <w:sz w:val="22"/>
          <w:szCs w:val="22"/>
          <w:lang w:val="fr-LU"/>
        </w:rPr>
        <w:t xml:space="preserve">exemptés </w:t>
      </w:r>
      <w:r w:rsidRPr="006A1522">
        <w:rPr>
          <w:rFonts w:cs="Calibri"/>
          <w:iCs/>
          <w:sz w:val="22"/>
          <w:szCs w:val="22"/>
          <w:lang w:val="fr-LU"/>
        </w:rPr>
        <w:t>50% de la prime d'impatriation ne dépassant pas 30% du montant brut de la rémunération annuelle a</w:t>
      </w:r>
      <w:r w:rsidRPr="006A1522">
        <w:rPr>
          <w:rFonts w:cs="Calibri"/>
          <w:sz w:val="22"/>
          <w:szCs w:val="22"/>
          <w:lang w:val="fr-LU"/>
        </w:rPr>
        <w:t>vant incorporation des avantages en espèces et en nature.</w:t>
      </w:r>
      <w:r w:rsidR="00956BA3">
        <w:rPr>
          <w:rFonts w:eastAsia="Arial" w:cs="Arial"/>
          <w:sz w:val="22"/>
          <w:szCs w:val="22"/>
          <w:lang w:val="fr-LU"/>
        </w:rPr>
        <w:t xml:space="preserve"> </w:t>
      </w:r>
      <w:r w:rsidRPr="006A1522">
        <w:rPr>
          <w:rFonts w:cs="Calibri"/>
          <w:sz w:val="22"/>
          <w:szCs w:val="22"/>
          <w:lang w:val="fr-LU"/>
        </w:rPr>
        <w:t>Les exemptions citées sont applicables aux impatriés pendant toute la durée de l’affectation du salarié en question, mais tout au plus jusqu’à la fin de la 8</w:t>
      </w:r>
      <w:r w:rsidRPr="006A1522">
        <w:rPr>
          <w:rFonts w:cs="Calibri"/>
          <w:sz w:val="22"/>
          <w:szCs w:val="22"/>
          <w:vertAlign w:val="superscript"/>
          <w:lang w:val="fr-LU"/>
        </w:rPr>
        <w:t>e</w:t>
      </w:r>
      <w:r w:rsidRPr="006A1522">
        <w:rPr>
          <w:rFonts w:cs="Calibri"/>
          <w:sz w:val="22"/>
          <w:szCs w:val="22"/>
          <w:lang w:val="fr-LU"/>
        </w:rPr>
        <w:t xml:space="preserve"> année d’imposition suivant celle de l’entrée en service du salarié au Grand-Duché.</w:t>
      </w:r>
    </w:p>
    <w:p w:rsidR="00917F7A" w:rsidRDefault="00917F7A" w:rsidP="00956BA3">
      <w:pPr>
        <w:jc w:val="both"/>
        <w:rPr>
          <w:rFonts w:cs="Arial"/>
          <w:sz w:val="22"/>
          <w:szCs w:val="22"/>
          <w:lang w:val="fr-LU"/>
        </w:rPr>
      </w:pPr>
    </w:p>
    <w:p w:rsidR="00956BA3" w:rsidRPr="00F167E9" w:rsidRDefault="00956BA3" w:rsidP="00956BA3">
      <w:pPr>
        <w:jc w:val="both"/>
        <w:rPr>
          <w:rFonts w:cs="Arial"/>
          <w:sz w:val="22"/>
          <w:szCs w:val="22"/>
          <w:lang w:val="fr-FR"/>
        </w:rPr>
      </w:pPr>
      <w:r w:rsidRPr="00956BA3">
        <w:rPr>
          <w:rFonts w:cs="Arial"/>
          <w:sz w:val="22"/>
          <w:szCs w:val="22"/>
          <w:lang w:val="fr-LU"/>
        </w:rPr>
        <w:t xml:space="preserve">L’article 3 </w:t>
      </w:r>
      <w:r w:rsidRPr="00DA4A2B">
        <w:rPr>
          <w:rFonts w:cs="Arial"/>
          <w:sz w:val="22"/>
          <w:szCs w:val="22"/>
          <w:lang w:val="fr-FR"/>
        </w:rPr>
        <w:t xml:space="preserve">introduit </w:t>
      </w:r>
      <w:r>
        <w:rPr>
          <w:rFonts w:cs="Arial"/>
          <w:sz w:val="22"/>
          <w:szCs w:val="22"/>
          <w:lang w:val="fr-FR"/>
        </w:rPr>
        <w:t xml:space="preserve">encore </w:t>
      </w:r>
      <w:r w:rsidRPr="00DA4A2B">
        <w:rPr>
          <w:rFonts w:cs="Arial"/>
          <w:sz w:val="22"/>
          <w:szCs w:val="22"/>
          <w:lang w:val="fr-FR"/>
        </w:rPr>
        <w:t xml:space="preserve">une </w:t>
      </w:r>
      <w:r w:rsidRPr="00956BA3">
        <w:rPr>
          <w:rFonts w:cs="Arial"/>
          <w:sz w:val="22"/>
          <w:szCs w:val="22"/>
          <w:u w:val="single"/>
          <w:lang w:val="fr-FR"/>
        </w:rPr>
        <w:t>exemption à hauteur de 50%</w:t>
      </w:r>
      <w:r>
        <w:rPr>
          <w:rFonts w:cs="Arial"/>
          <w:sz w:val="22"/>
          <w:szCs w:val="22"/>
          <w:lang w:val="fr-FR"/>
        </w:rPr>
        <w:t xml:space="preserve"> </w:t>
      </w:r>
      <w:r w:rsidRPr="00DA4A2B">
        <w:rPr>
          <w:rFonts w:cs="Arial"/>
          <w:sz w:val="22"/>
          <w:szCs w:val="22"/>
          <w:lang w:val="fr-FR"/>
        </w:rPr>
        <w:t xml:space="preserve">lors du paiement d’une </w:t>
      </w:r>
      <w:r w:rsidRPr="00956BA3">
        <w:rPr>
          <w:rFonts w:cs="Arial"/>
          <w:sz w:val="22"/>
          <w:szCs w:val="22"/>
          <w:u w:val="single"/>
          <w:lang w:val="fr-FR"/>
        </w:rPr>
        <w:t>prime participative</w:t>
      </w:r>
      <w:r w:rsidRPr="00DA4A2B">
        <w:rPr>
          <w:rFonts w:cs="Arial"/>
          <w:sz w:val="22"/>
          <w:szCs w:val="22"/>
          <w:lang w:val="fr-FR"/>
        </w:rPr>
        <w:t xml:space="preserve"> établie en fonction du résultat de l’exercice d’exploitation de l’employeur</w:t>
      </w:r>
      <w:r>
        <w:rPr>
          <w:rFonts w:cs="Arial"/>
          <w:sz w:val="22"/>
          <w:szCs w:val="22"/>
          <w:lang w:val="fr-FR"/>
        </w:rPr>
        <w:t xml:space="preserve">. </w:t>
      </w:r>
      <w:r w:rsidRPr="00F167E9">
        <w:rPr>
          <w:rFonts w:cs="Arial"/>
          <w:sz w:val="22"/>
          <w:szCs w:val="22"/>
          <w:lang w:val="fr-FR"/>
        </w:rPr>
        <w:t xml:space="preserve">L’exemption de la prime participative est </w:t>
      </w:r>
      <w:r w:rsidRPr="00F167E9">
        <w:rPr>
          <w:rFonts w:cs="Arial"/>
          <w:sz w:val="22"/>
          <w:szCs w:val="22"/>
          <w:u w:val="single"/>
          <w:lang w:val="fr-FR"/>
        </w:rPr>
        <w:t>limitée à 25% du montant brut de la rémunération annuelle</w:t>
      </w:r>
      <w:r w:rsidRPr="00F167E9">
        <w:rPr>
          <w:rFonts w:cs="Arial"/>
          <w:sz w:val="22"/>
          <w:szCs w:val="22"/>
          <w:lang w:val="fr-FR"/>
        </w:rPr>
        <w:t>, avant incorporation des avantages en espèces et en nature, de l’année d’imposition au cours de laquelle la prime participative est allouée au salarié.</w:t>
      </w:r>
    </w:p>
    <w:p w:rsidR="002358A6" w:rsidRPr="006A1522" w:rsidRDefault="002358A6" w:rsidP="002358A6">
      <w:pPr>
        <w:autoSpaceDE w:val="0"/>
        <w:autoSpaceDN w:val="0"/>
        <w:adjustRightInd w:val="0"/>
        <w:jc w:val="both"/>
        <w:rPr>
          <w:rFonts w:cs="Calibri"/>
          <w:iCs/>
          <w:sz w:val="22"/>
          <w:szCs w:val="22"/>
          <w:lang w:val="fr-FR"/>
        </w:rPr>
      </w:pPr>
    </w:p>
    <w:p w:rsidR="00963A2E" w:rsidRPr="006A1522" w:rsidRDefault="00963A2E" w:rsidP="00963A2E">
      <w:pPr>
        <w:jc w:val="both"/>
        <w:rPr>
          <w:rFonts w:ascii="Calibri" w:hAnsi="Calibri" w:cs="Calibri"/>
          <w:color w:val="C00000"/>
          <w:sz w:val="22"/>
          <w:szCs w:val="22"/>
          <w:lang w:val="fr-FR"/>
        </w:rPr>
      </w:pPr>
      <w:r w:rsidRPr="00963A2E">
        <w:rPr>
          <w:rFonts w:cs="Arial"/>
          <w:sz w:val="22"/>
          <w:u w:val="single"/>
          <w:lang w:val="fr-LU"/>
        </w:rPr>
        <w:t>L’article 3,</w:t>
      </w:r>
      <w:r w:rsidRPr="00963A2E">
        <w:rPr>
          <w:rFonts w:cs="Arial"/>
          <w:b/>
          <w:bCs/>
          <w:sz w:val="22"/>
          <w:u w:val="single"/>
          <w:lang w:val="fr-LU"/>
        </w:rPr>
        <w:t xml:space="preserve"> </w:t>
      </w:r>
      <w:r w:rsidRPr="00310D8B">
        <w:rPr>
          <w:rFonts w:cs="Arial"/>
          <w:sz w:val="22"/>
          <w:szCs w:val="22"/>
          <w:lang w:val="fr-FR"/>
        </w:rPr>
        <w:t>donne la possibilité à l’employeur de faire usage de la nouvelle solution de mise à disposition électronique des fiches dont la mise en place par l’administration des contributions directes (« ACD ») est prévue en cours d’année 2021</w:t>
      </w:r>
      <w:r>
        <w:rPr>
          <w:rFonts w:cs="Arial"/>
          <w:sz w:val="22"/>
          <w:szCs w:val="22"/>
          <w:lang w:val="fr-FR"/>
        </w:rPr>
        <w:t xml:space="preserve"> ; </w:t>
      </w:r>
      <w:r w:rsidRPr="00C73C7F">
        <w:rPr>
          <w:rFonts w:cs="Arial"/>
          <w:sz w:val="22"/>
          <w:szCs w:val="22"/>
          <w:lang w:val="fr-FR"/>
        </w:rPr>
        <w:t xml:space="preserve">cette </w:t>
      </w:r>
      <w:r w:rsidRPr="00737BA2">
        <w:rPr>
          <w:rFonts w:cs="Arial"/>
          <w:sz w:val="22"/>
          <w:szCs w:val="22"/>
          <w:u w:val="single"/>
          <w:lang w:val="fr-FR"/>
        </w:rPr>
        <w:t>nouvelle plateforme électronique</w:t>
      </w:r>
      <w:r w:rsidRPr="00C73C7F">
        <w:rPr>
          <w:rFonts w:cs="Arial"/>
          <w:sz w:val="22"/>
          <w:szCs w:val="22"/>
          <w:lang w:val="fr-FR"/>
        </w:rPr>
        <w:t xml:space="preserve"> permettra aux </w:t>
      </w:r>
      <w:r w:rsidRPr="00963A2E">
        <w:rPr>
          <w:rFonts w:cs="Arial"/>
          <w:sz w:val="22"/>
          <w:szCs w:val="22"/>
          <w:u w:val="single"/>
          <w:lang w:val="fr-FR"/>
        </w:rPr>
        <w:t>employeurs</w:t>
      </w:r>
      <w:r w:rsidRPr="00963A2E">
        <w:rPr>
          <w:rFonts w:cs="Arial"/>
          <w:sz w:val="22"/>
          <w:szCs w:val="22"/>
          <w:lang w:val="fr-FR"/>
        </w:rPr>
        <w:t xml:space="preserve"> l’</w:t>
      </w:r>
      <w:r w:rsidRPr="00963A2E">
        <w:rPr>
          <w:rFonts w:cs="Arial"/>
          <w:sz w:val="22"/>
          <w:szCs w:val="22"/>
          <w:u w:val="single"/>
          <w:lang w:val="fr-FR"/>
        </w:rPr>
        <w:t>accès aux fiches de retenue de leurs salariés sous forme électronique</w:t>
      </w:r>
      <w:r w:rsidRPr="00963A2E">
        <w:rPr>
          <w:rFonts w:cs="Arial"/>
          <w:sz w:val="22"/>
          <w:szCs w:val="22"/>
          <w:lang w:val="fr-FR"/>
        </w:rPr>
        <w:t>.</w:t>
      </w:r>
      <w:r w:rsidRPr="006A1522">
        <w:rPr>
          <w:rFonts w:ascii="Calibri" w:hAnsi="Calibri" w:cs="Calibri"/>
          <w:color w:val="C00000"/>
          <w:sz w:val="22"/>
          <w:szCs w:val="22"/>
          <w:lang w:val="fr-FR"/>
        </w:rPr>
        <w:t xml:space="preserve"> </w:t>
      </w:r>
    </w:p>
    <w:p w:rsidR="00963A2E" w:rsidRPr="00C73C7F" w:rsidRDefault="00963A2E" w:rsidP="00963A2E">
      <w:pPr>
        <w:ind w:firstLine="426"/>
        <w:jc w:val="both"/>
        <w:rPr>
          <w:rFonts w:cs="Arial"/>
          <w:sz w:val="22"/>
          <w:szCs w:val="22"/>
          <w:lang w:val="fr-FR"/>
        </w:rPr>
      </w:pPr>
    </w:p>
    <w:p w:rsidR="009B15A1" w:rsidRPr="009B15A1" w:rsidRDefault="009B15A1" w:rsidP="009B15A1">
      <w:pPr>
        <w:jc w:val="both"/>
        <w:rPr>
          <w:rFonts w:cs="Arial"/>
          <w:sz w:val="22"/>
          <w:lang w:val="fr-FR"/>
        </w:rPr>
      </w:pPr>
      <w:r w:rsidRPr="009B15A1">
        <w:rPr>
          <w:rFonts w:cs="Arial"/>
          <w:sz w:val="22"/>
          <w:u w:val="single"/>
          <w:lang w:val="fr-FR"/>
        </w:rPr>
        <w:t>L’article 4</w:t>
      </w:r>
      <w:r w:rsidRPr="001C7E73">
        <w:rPr>
          <w:rFonts w:cs="Arial"/>
          <w:sz w:val="22"/>
          <w:lang w:val="fr-FR"/>
        </w:rPr>
        <w:t xml:space="preserve"> du projet de loi introduit, à partir du 1</w:t>
      </w:r>
      <w:r w:rsidRPr="001C7E73">
        <w:rPr>
          <w:rFonts w:cs="Arial"/>
          <w:sz w:val="22"/>
          <w:vertAlign w:val="superscript"/>
          <w:lang w:val="fr-FR"/>
        </w:rPr>
        <w:t>er</w:t>
      </w:r>
      <w:r w:rsidRPr="001C7E73">
        <w:rPr>
          <w:rFonts w:cs="Arial"/>
          <w:sz w:val="22"/>
          <w:lang w:val="fr-FR"/>
        </w:rPr>
        <w:t xml:space="preserve"> janvier 2021, un prélèvement, dit </w:t>
      </w:r>
      <w:r w:rsidRPr="009B15A1">
        <w:rPr>
          <w:rFonts w:cs="Arial"/>
          <w:sz w:val="22"/>
          <w:lang w:val="fr-FR"/>
        </w:rPr>
        <w:t>« </w:t>
      </w:r>
      <w:r w:rsidRPr="009B15A1">
        <w:rPr>
          <w:rFonts w:cs="Arial"/>
          <w:sz w:val="22"/>
          <w:u w:val="single"/>
          <w:lang w:val="fr-FR"/>
        </w:rPr>
        <w:t>prélèvement immobilier</w:t>
      </w:r>
      <w:r w:rsidRPr="009B15A1">
        <w:rPr>
          <w:rFonts w:cs="Arial"/>
          <w:sz w:val="22"/>
          <w:lang w:val="fr-FR"/>
        </w:rPr>
        <w:t xml:space="preserve"> », à charge de divers véhicules d’investissement qui perçoivent un revenu provenant d’un bien immobilier sis au Grand-Duché de Luxembourg.</w:t>
      </w:r>
      <w:r w:rsidR="00380DF8">
        <w:rPr>
          <w:rFonts w:cs="Arial"/>
          <w:sz w:val="22"/>
          <w:lang w:val="fr-FR"/>
        </w:rPr>
        <w:t xml:space="preserve"> </w:t>
      </w:r>
      <w:r w:rsidRPr="001C7E73">
        <w:rPr>
          <w:rFonts w:cs="Arial"/>
          <w:sz w:val="22"/>
          <w:lang w:val="fr-FR"/>
        </w:rPr>
        <w:t xml:space="preserve">Le </w:t>
      </w:r>
      <w:r>
        <w:rPr>
          <w:rFonts w:cs="Arial"/>
          <w:sz w:val="22"/>
          <w:lang w:val="fr-FR"/>
        </w:rPr>
        <w:t>« </w:t>
      </w:r>
      <w:r w:rsidRPr="001C7E73">
        <w:rPr>
          <w:rFonts w:cs="Arial"/>
          <w:sz w:val="22"/>
          <w:lang w:val="fr-FR"/>
        </w:rPr>
        <w:t>prélèvement immobilier</w:t>
      </w:r>
      <w:r>
        <w:rPr>
          <w:rFonts w:cs="Arial"/>
          <w:sz w:val="22"/>
          <w:lang w:val="fr-FR"/>
        </w:rPr>
        <w:t> »</w:t>
      </w:r>
      <w:r w:rsidRPr="001C7E73">
        <w:rPr>
          <w:rFonts w:cs="Arial"/>
          <w:sz w:val="22"/>
          <w:lang w:val="fr-FR"/>
        </w:rPr>
        <w:t xml:space="preserve"> </w:t>
      </w:r>
      <w:r>
        <w:rPr>
          <w:rFonts w:cs="Arial"/>
          <w:sz w:val="22"/>
          <w:lang w:val="fr-FR"/>
        </w:rPr>
        <w:t xml:space="preserve">a pour but de rétablir l’équité fiscale entre les personnes recourant aux structures visées et les personnes qui ne le font pas. Il </w:t>
      </w:r>
      <w:r w:rsidRPr="001C7E73">
        <w:rPr>
          <w:rFonts w:cs="Arial"/>
          <w:sz w:val="22"/>
          <w:lang w:val="fr-FR"/>
        </w:rPr>
        <w:t>est perçu sur une base annuelle</w:t>
      </w:r>
      <w:r w:rsidR="00917F7A">
        <w:rPr>
          <w:rFonts w:cs="Arial"/>
          <w:sz w:val="22"/>
          <w:lang w:val="fr-FR"/>
        </w:rPr>
        <w:t xml:space="preserve"> et son</w:t>
      </w:r>
      <w:r w:rsidRPr="00B41C07">
        <w:rPr>
          <w:rFonts w:cs="Arial"/>
          <w:sz w:val="22"/>
          <w:lang w:val="fr-FR"/>
        </w:rPr>
        <w:t xml:space="preserve"> </w:t>
      </w:r>
      <w:r w:rsidRPr="009B15A1">
        <w:rPr>
          <w:rFonts w:cs="Arial"/>
          <w:sz w:val="22"/>
          <w:u w:val="single"/>
          <w:lang w:val="fr-FR"/>
        </w:rPr>
        <w:t>taux</w:t>
      </w:r>
      <w:r w:rsidRPr="009B15A1">
        <w:rPr>
          <w:rFonts w:cs="Arial"/>
          <w:sz w:val="22"/>
          <w:lang w:val="fr-FR"/>
        </w:rPr>
        <w:t xml:space="preserve"> est fixé à </w:t>
      </w:r>
      <w:r w:rsidRPr="009B15A1">
        <w:rPr>
          <w:rFonts w:cs="Arial"/>
          <w:sz w:val="22"/>
          <w:u w:val="single"/>
          <w:lang w:val="fr-FR"/>
        </w:rPr>
        <w:t>20%</w:t>
      </w:r>
      <w:r w:rsidRPr="009B15A1">
        <w:rPr>
          <w:rFonts w:cs="Arial"/>
          <w:sz w:val="22"/>
          <w:lang w:val="fr-FR"/>
        </w:rPr>
        <w:t xml:space="preserve">. </w:t>
      </w:r>
    </w:p>
    <w:p w:rsidR="005B6707" w:rsidRPr="00963A2E" w:rsidRDefault="005B6707" w:rsidP="00FA59ED">
      <w:pPr>
        <w:jc w:val="both"/>
        <w:rPr>
          <w:rFonts w:cs="Arial"/>
          <w:color w:val="auto"/>
          <w:sz w:val="22"/>
          <w:szCs w:val="22"/>
          <w:lang w:val="fr-FR"/>
        </w:rPr>
      </w:pPr>
    </w:p>
    <w:p w:rsidR="00963A2E" w:rsidRPr="00963A2E" w:rsidRDefault="00963A2E" w:rsidP="00963A2E">
      <w:pPr>
        <w:jc w:val="both"/>
        <w:rPr>
          <w:rFonts w:cs="Arial"/>
          <w:sz w:val="22"/>
          <w:lang w:val="fr-LU"/>
        </w:rPr>
      </w:pPr>
      <w:r w:rsidRPr="00963A2E">
        <w:rPr>
          <w:rFonts w:cs="Arial"/>
          <w:sz w:val="22"/>
          <w:u w:val="single"/>
          <w:lang w:val="fr-LU"/>
        </w:rPr>
        <w:t>L’article 5</w:t>
      </w:r>
      <w:r w:rsidRPr="00963A2E">
        <w:rPr>
          <w:rFonts w:cs="Arial"/>
          <w:sz w:val="22"/>
          <w:lang w:val="fr-LU"/>
        </w:rPr>
        <w:t xml:space="preserve"> du projet de loi introduit un </w:t>
      </w:r>
      <w:r w:rsidRPr="00963A2E">
        <w:rPr>
          <w:rFonts w:cs="Arial"/>
          <w:sz w:val="22"/>
          <w:szCs w:val="22"/>
          <w:u w:val="single"/>
          <w:lang w:val="fr-LU"/>
        </w:rPr>
        <w:t>abattement</w:t>
      </w:r>
      <w:r w:rsidRPr="00963A2E">
        <w:rPr>
          <w:rFonts w:cs="Arial"/>
          <w:sz w:val="22"/>
          <w:u w:val="single"/>
          <w:lang w:val="fr-LU"/>
        </w:rPr>
        <w:t xml:space="preserve"> </w:t>
      </w:r>
      <w:r w:rsidRPr="00963A2E">
        <w:rPr>
          <w:rFonts w:cs="Arial"/>
          <w:snapToGrid w:val="0"/>
          <w:sz w:val="22"/>
          <w:u w:val="single"/>
          <w:lang w:val="fr-FR"/>
        </w:rPr>
        <w:t>pour réductions de loyer accordées</w:t>
      </w:r>
      <w:r>
        <w:rPr>
          <w:rFonts w:cs="Arial"/>
          <w:bCs/>
          <w:snapToGrid w:val="0"/>
          <w:sz w:val="22"/>
          <w:lang w:val="fr-FR"/>
        </w:rPr>
        <w:t xml:space="preserve"> </w:t>
      </w:r>
      <w:r>
        <w:rPr>
          <w:rFonts w:cs="Arial"/>
          <w:sz w:val="22"/>
          <w:lang w:val="fr-LU"/>
        </w:rPr>
        <w:t>à condition</w:t>
      </w:r>
      <w:r w:rsidRPr="00963A2E">
        <w:rPr>
          <w:rFonts w:cs="Arial"/>
          <w:sz w:val="22"/>
          <w:lang w:val="fr-LU"/>
        </w:rPr>
        <w:t xml:space="preserve"> que le contrat de bail soit à qualifier de </w:t>
      </w:r>
      <w:r w:rsidRPr="00963A2E">
        <w:rPr>
          <w:rFonts w:cs="Arial"/>
          <w:sz w:val="22"/>
          <w:u w:val="single"/>
          <w:lang w:val="fr-LU"/>
        </w:rPr>
        <w:t>bail commercial</w:t>
      </w:r>
      <w:r>
        <w:rPr>
          <w:rFonts w:cs="Arial"/>
          <w:sz w:val="22"/>
          <w:lang w:val="fr-LU"/>
        </w:rPr>
        <w:t>.</w:t>
      </w:r>
      <w:r w:rsidRPr="00963A2E">
        <w:rPr>
          <w:rFonts w:cs="Arial"/>
          <w:sz w:val="22"/>
          <w:lang w:val="fr-LU"/>
        </w:rPr>
        <w:t xml:space="preserve"> Le montant de l’abattement se détermine en multipliant par deux le montant du loyer auquel il est renoncé. </w:t>
      </w:r>
      <w:r>
        <w:rPr>
          <w:rFonts w:cs="Arial"/>
          <w:sz w:val="22"/>
          <w:lang w:val="fr-LU"/>
        </w:rPr>
        <w:t>Il</w:t>
      </w:r>
      <w:r w:rsidRPr="00963A2E">
        <w:rPr>
          <w:rFonts w:cs="Arial"/>
          <w:sz w:val="22"/>
          <w:lang w:val="fr-LU"/>
        </w:rPr>
        <w:t xml:space="preserve"> est cependant limité à 15.000 euros par immeuble ou partie d’immeuble et par contrat de bail commercial. Ainsi, les montants des loyers auxquels il est renoncé et pouvant donner droit à l’abattement sont limités à 7.500 euros par contrat de bail commercial et par immeuble ou partie d’immeuble. </w:t>
      </w:r>
    </w:p>
    <w:p w:rsidR="00380DF8" w:rsidRDefault="00380DF8" w:rsidP="00380DF8">
      <w:pPr>
        <w:jc w:val="both"/>
        <w:rPr>
          <w:rFonts w:eastAsia="Arial" w:cs="Arial"/>
          <w:sz w:val="22"/>
          <w:szCs w:val="22"/>
          <w:lang w:val="fr-LU"/>
        </w:rPr>
      </w:pPr>
    </w:p>
    <w:p w:rsidR="00380DF8" w:rsidRPr="00380DF8" w:rsidRDefault="00380DF8" w:rsidP="00380DF8">
      <w:pPr>
        <w:jc w:val="both"/>
        <w:rPr>
          <w:rFonts w:eastAsia="Arial" w:cs="Arial"/>
          <w:sz w:val="22"/>
          <w:szCs w:val="22"/>
          <w:lang w:val="fr-FR"/>
        </w:rPr>
      </w:pPr>
      <w:r w:rsidRPr="00380DF8">
        <w:rPr>
          <w:rFonts w:eastAsia="Arial" w:cs="Arial"/>
          <w:sz w:val="22"/>
          <w:szCs w:val="22"/>
          <w:u w:val="single"/>
          <w:lang w:val="fr-LU"/>
        </w:rPr>
        <w:t>L’article 8</w:t>
      </w:r>
      <w:r w:rsidRPr="00380DF8">
        <w:rPr>
          <w:rFonts w:eastAsia="Arial" w:cs="Arial"/>
          <w:sz w:val="22"/>
          <w:szCs w:val="22"/>
          <w:lang w:val="fr-LU"/>
        </w:rPr>
        <w:t xml:space="preserve"> du projet de loi introduit </w:t>
      </w:r>
      <w:r>
        <w:rPr>
          <w:rFonts w:eastAsia="Arial" w:cs="Arial"/>
          <w:sz w:val="22"/>
          <w:szCs w:val="22"/>
          <w:lang w:val="fr-LU"/>
        </w:rPr>
        <w:t>la</w:t>
      </w:r>
      <w:r w:rsidRPr="00380DF8">
        <w:rPr>
          <w:rFonts w:eastAsia="Arial" w:cs="Arial"/>
          <w:sz w:val="22"/>
          <w:szCs w:val="22"/>
          <w:lang w:val="fr-LU"/>
        </w:rPr>
        <w:t xml:space="preserve"> </w:t>
      </w:r>
      <w:r w:rsidRPr="00380DF8">
        <w:rPr>
          <w:rFonts w:eastAsia="Arial" w:cs="Arial"/>
          <w:sz w:val="22"/>
          <w:szCs w:val="22"/>
          <w:u w:val="single"/>
          <w:lang w:val="fr-LU"/>
        </w:rPr>
        <w:t>taxe CO2</w:t>
      </w:r>
      <w:r w:rsidRPr="00380DF8">
        <w:rPr>
          <w:rFonts w:eastAsia="Arial" w:cs="Arial"/>
          <w:sz w:val="22"/>
          <w:szCs w:val="22"/>
          <w:lang w:val="fr-LU"/>
        </w:rPr>
        <w:t>.</w:t>
      </w:r>
      <w:r>
        <w:rPr>
          <w:rFonts w:eastAsia="Arial" w:cs="Arial"/>
          <w:sz w:val="22"/>
          <w:szCs w:val="22"/>
          <w:lang w:val="fr-FR"/>
        </w:rPr>
        <w:t xml:space="preserve"> </w:t>
      </w:r>
      <w:r>
        <w:rPr>
          <w:rFonts w:eastAsia="Arial" w:cs="Arial"/>
          <w:sz w:val="22"/>
          <w:szCs w:val="22"/>
          <w:lang w:val="fr-LU"/>
        </w:rPr>
        <w:t>C</w:t>
      </w:r>
      <w:r w:rsidRPr="00380DF8">
        <w:rPr>
          <w:rFonts w:eastAsia="Arial" w:cs="Arial"/>
          <w:sz w:val="22"/>
          <w:szCs w:val="22"/>
          <w:lang w:val="fr-LU"/>
        </w:rPr>
        <w:t>ette taxe s’élève à 20 euros par tonne de CO2, correspondant à 5-6 cents par litre de carburant ou autre produit énergétique. En 2022, cette taxe s’élèvera à 25 euros par tonne de CO2 et en 2022 à 30 euros par tonne de CO2, ces augmentations correspondant à chaque fois à un cent supplémentaire par litre.</w:t>
      </w:r>
      <w:r>
        <w:rPr>
          <w:rFonts w:eastAsia="Arial" w:cs="Arial"/>
          <w:sz w:val="22"/>
          <w:szCs w:val="22"/>
          <w:lang w:val="fr-FR"/>
        </w:rPr>
        <w:t xml:space="preserve"> </w:t>
      </w:r>
      <w:r w:rsidRPr="00380DF8">
        <w:rPr>
          <w:rFonts w:cs="Arial"/>
          <w:sz w:val="22"/>
          <w:lang w:val="fr-LU"/>
        </w:rPr>
        <w:t xml:space="preserve">Une utilisation ciblée des recettes issue de la </w:t>
      </w:r>
      <w:r>
        <w:rPr>
          <w:rFonts w:cs="Arial"/>
          <w:sz w:val="22"/>
          <w:lang w:val="fr-LU"/>
        </w:rPr>
        <w:t>t</w:t>
      </w:r>
      <w:r w:rsidRPr="00380DF8">
        <w:rPr>
          <w:rFonts w:cs="Arial"/>
          <w:sz w:val="22"/>
          <w:lang w:val="fr-LU"/>
        </w:rPr>
        <w:t xml:space="preserve">axe CO2 permettra de garantir la mise en œuvre socialement équitable du prix du carbone. Afin d’atténuer le poids de la taxe sur les ménages aux revenus les plus faibles, les </w:t>
      </w:r>
      <w:r w:rsidRPr="00380DF8">
        <w:rPr>
          <w:rFonts w:cs="Arial"/>
          <w:sz w:val="22"/>
          <w:u w:val="single"/>
          <w:lang w:val="fr-LU"/>
        </w:rPr>
        <w:t>crédits d’impôt</w:t>
      </w:r>
      <w:r w:rsidRPr="00380DF8">
        <w:rPr>
          <w:rFonts w:cs="Arial"/>
          <w:sz w:val="22"/>
          <w:lang w:val="fr-LU"/>
        </w:rPr>
        <w:t xml:space="preserve"> </w:t>
      </w:r>
      <w:r>
        <w:rPr>
          <w:rFonts w:cs="Arial"/>
          <w:sz w:val="22"/>
          <w:lang w:val="fr-LU"/>
        </w:rPr>
        <w:t xml:space="preserve">sont </w:t>
      </w:r>
      <w:r w:rsidRPr="00380DF8">
        <w:rPr>
          <w:rFonts w:cs="Arial"/>
          <w:sz w:val="22"/>
          <w:lang w:val="fr-LU"/>
        </w:rPr>
        <w:t>augment</w:t>
      </w:r>
      <w:r>
        <w:rPr>
          <w:rFonts w:cs="Arial"/>
          <w:sz w:val="22"/>
          <w:lang w:val="fr-LU"/>
        </w:rPr>
        <w:t>és</w:t>
      </w:r>
      <w:r w:rsidRPr="00380DF8">
        <w:rPr>
          <w:rFonts w:cs="Arial"/>
          <w:sz w:val="22"/>
          <w:lang w:val="fr-LU"/>
        </w:rPr>
        <w:t xml:space="preserve"> de </w:t>
      </w:r>
      <w:r w:rsidRPr="00380DF8">
        <w:rPr>
          <w:rFonts w:cs="Arial"/>
          <w:sz w:val="22"/>
          <w:u w:val="single"/>
          <w:lang w:val="fr-LU"/>
        </w:rPr>
        <w:t>96 euros par an</w:t>
      </w:r>
      <w:r w:rsidRPr="00380DF8">
        <w:rPr>
          <w:rFonts w:cs="Arial"/>
          <w:sz w:val="22"/>
          <w:lang w:val="fr-LU"/>
        </w:rPr>
        <w:t xml:space="preserve"> (soit 8 euros par mois).</w:t>
      </w:r>
    </w:p>
    <w:p w:rsidR="00380DF8" w:rsidRDefault="00380DF8" w:rsidP="00380DF8">
      <w:pPr>
        <w:jc w:val="both"/>
        <w:rPr>
          <w:rFonts w:eastAsia="Arial" w:cs="Arial"/>
          <w:sz w:val="22"/>
          <w:szCs w:val="22"/>
          <w:lang w:val="fr-LU"/>
        </w:rPr>
      </w:pPr>
    </w:p>
    <w:p w:rsidR="00380DF8" w:rsidRPr="00380DF8" w:rsidRDefault="00380DF8" w:rsidP="00380DF8">
      <w:pPr>
        <w:jc w:val="both"/>
        <w:rPr>
          <w:rFonts w:cs="Arial"/>
          <w:sz w:val="22"/>
          <w:szCs w:val="22"/>
          <w:lang w:val="fr-LU"/>
        </w:rPr>
      </w:pPr>
      <w:r w:rsidRPr="00380DF8">
        <w:rPr>
          <w:rFonts w:eastAsia="Arial" w:cs="Arial"/>
          <w:sz w:val="22"/>
          <w:szCs w:val="22"/>
          <w:u w:val="single"/>
          <w:lang w:val="fr-LU"/>
        </w:rPr>
        <w:t>L’article 9</w:t>
      </w:r>
      <w:r w:rsidRPr="00380DF8">
        <w:rPr>
          <w:rFonts w:eastAsia="Arial" w:cs="Arial"/>
          <w:sz w:val="22"/>
          <w:szCs w:val="22"/>
          <w:lang w:val="fr-LU"/>
        </w:rPr>
        <w:t xml:space="preserve"> du projet de loi prévoit </w:t>
      </w:r>
      <w:r w:rsidRPr="00380DF8">
        <w:rPr>
          <w:rFonts w:cs="Arial"/>
          <w:sz w:val="22"/>
          <w:szCs w:val="22"/>
          <w:lang w:val="fr-LU"/>
        </w:rPr>
        <w:t xml:space="preserve">un </w:t>
      </w:r>
      <w:r w:rsidRPr="00380DF8">
        <w:rPr>
          <w:rFonts w:cs="Arial"/>
          <w:sz w:val="22"/>
          <w:szCs w:val="22"/>
          <w:u w:val="single"/>
          <w:lang w:val="fr-LU"/>
        </w:rPr>
        <w:t xml:space="preserve">taux de taxe d’abonnement annuelle </w:t>
      </w:r>
      <w:r w:rsidRPr="00380DF8">
        <w:rPr>
          <w:rFonts w:cs="Arial"/>
          <w:sz w:val="22"/>
          <w:szCs w:val="22"/>
          <w:u w:val="single"/>
          <w:lang w:val="fr-FR"/>
        </w:rPr>
        <w:t>de 0,04%</w:t>
      </w:r>
      <w:r w:rsidRPr="00632F37">
        <w:rPr>
          <w:rFonts w:cs="Arial"/>
          <w:sz w:val="22"/>
          <w:szCs w:val="22"/>
          <w:lang w:val="fr-FR"/>
        </w:rPr>
        <w:t xml:space="preserve"> </w:t>
      </w:r>
      <w:r>
        <w:rPr>
          <w:rFonts w:cs="Arial"/>
          <w:sz w:val="22"/>
          <w:szCs w:val="22"/>
          <w:lang w:val="fr-FR"/>
        </w:rPr>
        <w:t xml:space="preserve">(au lieu de 0,05%) </w:t>
      </w:r>
      <w:r w:rsidRPr="00632F37">
        <w:rPr>
          <w:rFonts w:cs="Arial"/>
          <w:sz w:val="22"/>
          <w:szCs w:val="22"/>
          <w:lang w:val="fr-FR"/>
        </w:rPr>
        <w:t xml:space="preserve">pour la part des avoirs </w:t>
      </w:r>
      <w:r w:rsidRPr="00380DF8">
        <w:rPr>
          <w:rFonts w:cs="Arial"/>
          <w:sz w:val="22"/>
          <w:szCs w:val="22"/>
          <w:lang w:val="fr-LU"/>
        </w:rPr>
        <w:t xml:space="preserve">nets d’un OPC ou d’un compartiment individuel d’un OPC à compartiments multiples pourvu que les conditions prévues à l’article 3 du règlement taxonomie soient respectées pour cette part et </w:t>
      </w:r>
      <w:r w:rsidRPr="00380DF8">
        <w:rPr>
          <w:rFonts w:cs="Arial"/>
          <w:sz w:val="22"/>
          <w:szCs w:val="22"/>
          <w:u w:val="single"/>
          <w:lang w:val="fr-LU"/>
        </w:rPr>
        <w:t>à condition qu’un seuil, allant de 5 à 20% d’avoirs investis dans des activités économiques durables sur le plan environnemental</w:t>
      </w:r>
      <w:r w:rsidRPr="00380DF8">
        <w:rPr>
          <w:rFonts w:cs="Arial"/>
          <w:sz w:val="22"/>
          <w:szCs w:val="22"/>
          <w:lang w:val="fr-LU"/>
        </w:rPr>
        <w:t xml:space="preserve"> soit atteint.</w:t>
      </w:r>
      <w:r>
        <w:rPr>
          <w:rFonts w:cs="Arial"/>
          <w:sz w:val="22"/>
          <w:szCs w:val="22"/>
          <w:lang w:val="fr-LU"/>
        </w:rPr>
        <w:t xml:space="preserve"> </w:t>
      </w:r>
      <w:r w:rsidRPr="006A1522">
        <w:rPr>
          <w:rFonts w:cs="Calibri"/>
          <w:sz w:val="22"/>
          <w:szCs w:val="22"/>
          <w:lang w:val="fr-FR"/>
        </w:rPr>
        <w:t>Si la part des avoirs nets d’un OPC ou d’un compartiment individuel d’un OPC à compartiments multiples investis dans des activités économiques durables représente au moins 20% de la totalité des avoirs nets de l’OPC ou du compartiment individuel d’un OPC à compartiments multiples, ce taux est de 0,03% pour la part des avoirs nets en question. Si la part des avoirs en question représente au moins 35%, le taux passe à 0,02% et en cas d’au moins 50%, le taux passe à 0,01%.</w:t>
      </w:r>
    </w:p>
    <w:p w:rsidR="0066375D" w:rsidRDefault="0066375D" w:rsidP="0066375D">
      <w:pPr>
        <w:autoSpaceDE w:val="0"/>
        <w:autoSpaceDN w:val="0"/>
        <w:adjustRightInd w:val="0"/>
        <w:jc w:val="both"/>
        <w:rPr>
          <w:rFonts w:cs="Arial"/>
          <w:sz w:val="22"/>
          <w:szCs w:val="22"/>
          <w:lang w:val="fr-LU"/>
        </w:rPr>
      </w:pPr>
    </w:p>
    <w:p w:rsidR="0066375D" w:rsidRPr="0066375D" w:rsidRDefault="0066375D" w:rsidP="0066375D">
      <w:pPr>
        <w:autoSpaceDE w:val="0"/>
        <w:autoSpaceDN w:val="0"/>
        <w:adjustRightInd w:val="0"/>
        <w:jc w:val="both"/>
        <w:rPr>
          <w:rFonts w:cs="Arial"/>
          <w:sz w:val="22"/>
          <w:szCs w:val="22"/>
          <w:lang w:val="fr-LU"/>
        </w:rPr>
      </w:pPr>
      <w:r w:rsidRPr="0066375D">
        <w:rPr>
          <w:rFonts w:cs="Arial"/>
          <w:sz w:val="22"/>
          <w:szCs w:val="22"/>
          <w:u w:val="single"/>
          <w:lang w:val="fr-LU"/>
        </w:rPr>
        <w:t>L’article 10</w:t>
      </w:r>
      <w:r w:rsidRPr="0066375D">
        <w:rPr>
          <w:rFonts w:cs="Arial"/>
          <w:color w:val="FF0000"/>
          <w:sz w:val="22"/>
          <w:szCs w:val="22"/>
          <w:u w:val="single"/>
          <w:lang w:val="fr-LU"/>
        </w:rPr>
        <w:t xml:space="preserve"> </w:t>
      </w:r>
      <w:r w:rsidRPr="0066375D">
        <w:rPr>
          <w:rFonts w:cs="Arial"/>
          <w:sz w:val="22"/>
          <w:szCs w:val="22"/>
          <w:lang w:val="fr-LU"/>
        </w:rPr>
        <w:t>renchérit les « </w:t>
      </w:r>
      <w:r w:rsidRPr="0066375D">
        <w:rPr>
          <w:rFonts w:cs="Arial"/>
          <w:sz w:val="22"/>
          <w:szCs w:val="22"/>
          <w:u w:val="single"/>
          <w:lang w:val="fr-LU"/>
        </w:rPr>
        <w:t>share deal</w:t>
      </w:r>
      <w:r w:rsidRPr="0066375D">
        <w:rPr>
          <w:rFonts w:cs="Arial"/>
          <w:sz w:val="22"/>
          <w:szCs w:val="22"/>
          <w:lang w:val="fr-LU"/>
        </w:rPr>
        <w:t xml:space="preserve"> », opérations par le biais desquelles des investisseurs achètent des (parts de) sociétés détenant des immeubles, en </w:t>
      </w:r>
      <w:r w:rsidRPr="0066375D">
        <w:rPr>
          <w:rFonts w:cs="Arial"/>
          <w:sz w:val="22"/>
          <w:szCs w:val="22"/>
          <w:u w:val="single"/>
          <w:lang w:val="fr-LU"/>
        </w:rPr>
        <w:t>triplant le droit de mutation</w:t>
      </w:r>
      <w:r w:rsidRPr="0066375D">
        <w:rPr>
          <w:rFonts w:cs="Arial"/>
          <w:sz w:val="22"/>
          <w:szCs w:val="22"/>
          <w:lang w:val="fr-LU"/>
        </w:rPr>
        <w:t xml:space="preserve"> en cas d’apport pur et simple d’immeubles à une société. </w:t>
      </w:r>
    </w:p>
    <w:p w:rsidR="00380DF8" w:rsidRPr="006A1522" w:rsidRDefault="00380DF8" w:rsidP="00380DF8">
      <w:pPr>
        <w:jc w:val="both"/>
        <w:rPr>
          <w:rFonts w:cs="Calibri"/>
          <w:sz w:val="22"/>
          <w:szCs w:val="22"/>
          <w:lang w:val="fr-FR"/>
        </w:rPr>
      </w:pPr>
    </w:p>
    <w:p w:rsidR="0066375D" w:rsidRPr="0066375D" w:rsidRDefault="0066375D" w:rsidP="0066375D">
      <w:pPr>
        <w:jc w:val="both"/>
        <w:rPr>
          <w:rFonts w:cs="Arial"/>
          <w:sz w:val="22"/>
          <w:szCs w:val="22"/>
          <w:lang w:val="fr-LU"/>
        </w:rPr>
      </w:pPr>
      <w:r w:rsidRPr="0066375D">
        <w:rPr>
          <w:rFonts w:eastAsia="Arial" w:cs="Arial"/>
          <w:sz w:val="22"/>
          <w:szCs w:val="22"/>
          <w:u w:val="single"/>
          <w:lang w:val="fr-FR"/>
        </w:rPr>
        <w:t>L’article 11</w:t>
      </w:r>
      <w:r w:rsidRPr="00CA5CCA">
        <w:rPr>
          <w:rFonts w:eastAsia="Arial" w:cs="Arial"/>
          <w:sz w:val="22"/>
          <w:szCs w:val="22"/>
          <w:lang w:val="fr-FR"/>
        </w:rPr>
        <w:t xml:space="preserve"> précise qu’i</w:t>
      </w:r>
      <w:r w:rsidRPr="0066375D">
        <w:rPr>
          <w:rFonts w:cs="Arial"/>
          <w:sz w:val="22"/>
          <w:szCs w:val="22"/>
          <w:lang w:val="fr-LU"/>
        </w:rPr>
        <w:t xml:space="preserve">l est </w:t>
      </w:r>
      <w:r w:rsidRPr="0066375D">
        <w:rPr>
          <w:rFonts w:cs="Arial"/>
          <w:sz w:val="22"/>
          <w:szCs w:val="22"/>
          <w:u w:val="single"/>
          <w:lang w:val="fr-LU"/>
        </w:rPr>
        <w:t>interdit à une société de gestion de patrimoine familial (SPF) de détenir des biens immobiliers à travers une ou plusieurs sociétés de personnes ou à travers un ou plusieurs fonds communs de placement</w:t>
      </w:r>
      <w:r w:rsidRPr="0066375D">
        <w:rPr>
          <w:rFonts w:eastAsia="Arial" w:cs="Arial"/>
          <w:sz w:val="22"/>
          <w:szCs w:val="22"/>
          <w:lang w:val="fr-LU"/>
        </w:rPr>
        <w:t xml:space="preserve">, alors que </w:t>
      </w:r>
      <w:r w:rsidRPr="0066375D">
        <w:rPr>
          <w:rFonts w:cs="Arial"/>
          <w:sz w:val="22"/>
          <w:szCs w:val="22"/>
          <w:lang w:val="fr-LU"/>
        </w:rPr>
        <w:t xml:space="preserve">la détention directe d’immeubles par une SPF était déjà exclue par la loi modifiée du 11 mai 2007. </w:t>
      </w:r>
    </w:p>
    <w:p w:rsidR="00493B7D" w:rsidRDefault="00493B7D" w:rsidP="00493B7D">
      <w:pPr>
        <w:jc w:val="both"/>
        <w:rPr>
          <w:rFonts w:cs="Arial"/>
          <w:color w:val="FF0000"/>
          <w:sz w:val="22"/>
          <w:szCs w:val="22"/>
          <w:lang w:val="fr-FR"/>
        </w:rPr>
      </w:pPr>
    </w:p>
    <w:p w:rsidR="00493B7D" w:rsidRPr="002B1057" w:rsidRDefault="00493B7D" w:rsidP="00493B7D">
      <w:pPr>
        <w:jc w:val="both"/>
        <w:rPr>
          <w:rFonts w:cs="Arial"/>
          <w:color w:val="FF0000"/>
          <w:sz w:val="22"/>
          <w:szCs w:val="22"/>
          <w:lang w:val="fr-FR"/>
        </w:rPr>
      </w:pPr>
      <w:r w:rsidRPr="00493B7D">
        <w:rPr>
          <w:rFonts w:cs="Arial"/>
          <w:sz w:val="22"/>
          <w:szCs w:val="22"/>
          <w:u w:val="single"/>
          <w:lang w:val="fr-LU"/>
        </w:rPr>
        <w:t>L’article 11</w:t>
      </w:r>
      <w:r w:rsidRPr="00493B7D">
        <w:rPr>
          <w:rFonts w:cs="Arial"/>
          <w:sz w:val="22"/>
          <w:szCs w:val="22"/>
          <w:lang w:val="fr-LU"/>
        </w:rPr>
        <w:t xml:space="preserve"> </w:t>
      </w:r>
      <w:r>
        <w:rPr>
          <w:rFonts w:cs="Arial"/>
          <w:sz w:val="22"/>
          <w:szCs w:val="22"/>
          <w:lang w:val="fr-LU"/>
        </w:rPr>
        <w:t>prévoit qu</w:t>
      </w:r>
      <w:r w:rsidR="00406761">
        <w:rPr>
          <w:rFonts w:cs="Arial"/>
          <w:sz w:val="22"/>
          <w:szCs w:val="22"/>
          <w:lang w:val="fr-LU"/>
        </w:rPr>
        <w:t>’à</w:t>
      </w:r>
      <w:r>
        <w:rPr>
          <w:rFonts w:cs="Arial"/>
          <w:sz w:val="22"/>
          <w:szCs w:val="22"/>
          <w:lang w:val="fr-LU"/>
        </w:rPr>
        <w:t xml:space="preserve"> </w:t>
      </w:r>
      <w:r w:rsidR="00406761" w:rsidRPr="00493B7D">
        <w:rPr>
          <w:rFonts w:cs="Arial"/>
          <w:sz w:val="22"/>
          <w:szCs w:val="22"/>
          <w:lang w:val="fr-LU"/>
        </w:rPr>
        <w:t xml:space="preserve">l’instar des organismes de placement collectif et des fonds d’investissement, les </w:t>
      </w:r>
      <w:r w:rsidR="0066375D" w:rsidRPr="006A1522">
        <w:rPr>
          <w:rFonts w:cs="Calibri"/>
          <w:bCs/>
          <w:sz w:val="22"/>
          <w:szCs w:val="22"/>
          <w:u w:val="single"/>
          <w:lang w:val="fr-FR"/>
        </w:rPr>
        <w:t>SPF</w:t>
      </w:r>
      <w:r w:rsidR="0066375D" w:rsidRPr="006A1522">
        <w:rPr>
          <w:rFonts w:cs="Calibri"/>
          <w:bCs/>
          <w:sz w:val="22"/>
          <w:szCs w:val="22"/>
          <w:lang w:val="fr-FR"/>
        </w:rPr>
        <w:t xml:space="preserve"> </w:t>
      </w:r>
      <w:r w:rsidR="00406761" w:rsidRPr="0066375D">
        <w:rPr>
          <w:rFonts w:cs="Arial"/>
          <w:sz w:val="22"/>
          <w:szCs w:val="22"/>
          <w:lang w:val="fr-LU"/>
        </w:rPr>
        <w:t>sont</w:t>
      </w:r>
      <w:r w:rsidR="00406761" w:rsidRPr="00493B7D">
        <w:rPr>
          <w:rFonts w:cs="Arial"/>
          <w:sz w:val="22"/>
          <w:szCs w:val="22"/>
          <w:lang w:val="fr-LU"/>
        </w:rPr>
        <w:t xml:space="preserve"> désormais </w:t>
      </w:r>
      <w:r w:rsidR="00406761" w:rsidRPr="00406761">
        <w:rPr>
          <w:rFonts w:cs="Arial"/>
          <w:sz w:val="22"/>
          <w:szCs w:val="22"/>
          <w:u w:val="single"/>
          <w:lang w:val="fr-LU"/>
        </w:rPr>
        <w:t>obligées de déposer leurs déclarations en matière de taxe d’abonnement par voie électronique</w:t>
      </w:r>
      <w:r w:rsidR="00406761" w:rsidRPr="00493B7D">
        <w:rPr>
          <w:rFonts w:cs="Arial"/>
          <w:sz w:val="22"/>
          <w:szCs w:val="22"/>
          <w:lang w:val="fr-LU"/>
        </w:rPr>
        <w:t>.</w:t>
      </w:r>
      <w:r w:rsidR="00406761">
        <w:rPr>
          <w:rFonts w:cs="Arial"/>
          <w:sz w:val="22"/>
          <w:szCs w:val="22"/>
          <w:lang w:val="fr-LU"/>
        </w:rPr>
        <w:t xml:space="preserve"> </w:t>
      </w:r>
    </w:p>
    <w:p w:rsidR="00493B7D" w:rsidRPr="00493B7D" w:rsidRDefault="00493B7D" w:rsidP="00493B7D">
      <w:pPr>
        <w:jc w:val="both"/>
        <w:rPr>
          <w:rFonts w:cs="Arial"/>
          <w:sz w:val="22"/>
          <w:szCs w:val="22"/>
          <w:lang w:val="fr-LU"/>
        </w:rPr>
      </w:pPr>
    </w:p>
    <w:p w:rsidR="00406761" w:rsidRPr="00406761" w:rsidRDefault="00406761" w:rsidP="00406761">
      <w:pPr>
        <w:jc w:val="both"/>
        <w:rPr>
          <w:rFonts w:cs="Arial"/>
          <w:sz w:val="22"/>
          <w:lang w:val="fr-LU"/>
        </w:rPr>
      </w:pPr>
      <w:r w:rsidRPr="00406761">
        <w:rPr>
          <w:rFonts w:cs="Arial"/>
          <w:sz w:val="22"/>
          <w:u w:val="single"/>
          <w:lang w:val="fr-LU"/>
        </w:rPr>
        <w:t>L’article 13</w:t>
      </w:r>
      <w:r w:rsidRPr="00406761">
        <w:rPr>
          <w:rFonts w:cs="Arial"/>
          <w:sz w:val="22"/>
          <w:lang w:val="fr-LU"/>
        </w:rPr>
        <w:t xml:space="preserve"> prévoit, en vue de faire bénéficier un plus grand nombre d'assujettis de la simplification administrative que représente le </w:t>
      </w:r>
      <w:r w:rsidRPr="00BE577C">
        <w:rPr>
          <w:rFonts w:cs="Arial"/>
          <w:sz w:val="22"/>
          <w:u w:val="single"/>
          <w:lang w:val="fr-LU"/>
        </w:rPr>
        <w:t>régime de franchise TVA</w:t>
      </w:r>
      <w:r w:rsidRPr="00406761">
        <w:rPr>
          <w:rFonts w:cs="Arial"/>
          <w:sz w:val="22"/>
          <w:lang w:val="fr-LU"/>
        </w:rPr>
        <w:t xml:space="preserve">, de relever le </w:t>
      </w:r>
      <w:r w:rsidRPr="00406761">
        <w:rPr>
          <w:rFonts w:cs="Arial"/>
          <w:sz w:val="22"/>
          <w:u w:val="single"/>
          <w:lang w:val="fr-LU"/>
        </w:rPr>
        <w:t>seuil</w:t>
      </w:r>
      <w:r w:rsidRPr="00406761">
        <w:rPr>
          <w:rFonts w:cs="Arial"/>
          <w:sz w:val="22"/>
          <w:lang w:val="fr-LU"/>
        </w:rPr>
        <w:t xml:space="preserve"> </w:t>
      </w:r>
      <w:r>
        <w:rPr>
          <w:rFonts w:cs="Arial"/>
          <w:sz w:val="22"/>
          <w:lang w:val="fr-LU"/>
        </w:rPr>
        <w:t xml:space="preserve">actuel </w:t>
      </w:r>
      <w:r w:rsidRPr="00406761">
        <w:rPr>
          <w:rFonts w:cs="Arial"/>
          <w:sz w:val="22"/>
          <w:lang w:val="fr-LU"/>
        </w:rPr>
        <w:t xml:space="preserve">de 30.000 euros à </w:t>
      </w:r>
      <w:r w:rsidRPr="00406761">
        <w:rPr>
          <w:rFonts w:cs="Arial"/>
          <w:sz w:val="22"/>
          <w:u w:val="single"/>
          <w:lang w:val="fr-LU"/>
        </w:rPr>
        <w:t>35.000 euros</w:t>
      </w:r>
      <w:r w:rsidRPr="00406761">
        <w:rPr>
          <w:rFonts w:cs="Arial"/>
          <w:sz w:val="22"/>
          <w:lang w:val="fr-LU"/>
        </w:rPr>
        <w:t xml:space="preserve">. </w:t>
      </w:r>
    </w:p>
    <w:p w:rsidR="00406761" w:rsidRPr="006A1522" w:rsidRDefault="00406761" w:rsidP="00406761">
      <w:pPr>
        <w:jc w:val="both"/>
        <w:rPr>
          <w:rFonts w:ascii="Calibri" w:hAnsi="Calibri" w:cs="Calibri"/>
          <w:sz w:val="22"/>
          <w:lang w:val="fr-LU"/>
        </w:rPr>
      </w:pPr>
    </w:p>
    <w:p w:rsidR="00406761" w:rsidRPr="00406761" w:rsidRDefault="00406761" w:rsidP="00406761">
      <w:pPr>
        <w:jc w:val="both"/>
        <w:rPr>
          <w:rFonts w:cs="Arial"/>
          <w:sz w:val="22"/>
          <w:lang w:val="fr-LU"/>
        </w:rPr>
      </w:pPr>
      <w:r w:rsidRPr="00562EED">
        <w:rPr>
          <w:rFonts w:cs="Arial"/>
          <w:sz w:val="22"/>
          <w:u w:val="single"/>
          <w:lang w:val="fr-LU"/>
        </w:rPr>
        <w:t>L’article 14</w:t>
      </w:r>
      <w:r w:rsidRPr="00406761">
        <w:rPr>
          <w:rFonts w:cs="Arial"/>
          <w:sz w:val="22"/>
          <w:lang w:val="fr-LU"/>
        </w:rPr>
        <w:t xml:space="preserve"> a pour objet l’introduction </w:t>
      </w:r>
      <w:r w:rsidRPr="00562EED">
        <w:rPr>
          <w:rFonts w:cs="Arial"/>
          <w:sz w:val="22"/>
          <w:u w:val="single"/>
          <w:lang w:val="fr-LU"/>
        </w:rPr>
        <w:t>pour les héritiers</w:t>
      </w:r>
      <w:r w:rsidRPr="00406761">
        <w:rPr>
          <w:rFonts w:cs="Arial"/>
          <w:sz w:val="22"/>
          <w:lang w:val="fr-LU"/>
        </w:rPr>
        <w:t xml:space="preserve">, dans le cadre de successions exemptes de droits de succession, d’un moyen efficace d’accès aux biens meubles dépendant d’une succession en donnant une portée civile au certificat d’ores et déjà émis par l’AED. Il s’agit donc surtout d’une mesure de simplification administrative. Le </w:t>
      </w:r>
      <w:r w:rsidRPr="00562EED">
        <w:rPr>
          <w:rFonts w:cs="Arial"/>
          <w:sz w:val="22"/>
          <w:u w:val="single"/>
          <w:lang w:val="fr-LU"/>
        </w:rPr>
        <w:t>certificat émis par l’AED en cas de succession exempte de droits de succession aura donc dorénavant une portée à la fois fiscale et civile</w:t>
      </w:r>
      <w:r w:rsidRPr="00406761">
        <w:rPr>
          <w:rFonts w:cs="Arial"/>
          <w:sz w:val="22"/>
          <w:lang w:val="fr-LU"/>
        </w:rPr>
        <w:t>. L’héritier n’aura plus besoin de se procurer un acte de notoriété auprès d’un notaire.</w:t>
      </w:r>
    </w:p>
    <w:p w:rsidR="00D216B4" w:rsidRPr="00364E1A" w:rsidRDefault="00D216B4" w:rsidP="00D216B4">
      <w:pPr>
        <w:keepNext/>
        <w:widowControl w:val="0"/>
        <w:tabs>
          <w:tab w:val="left" w:pos="1276"/>
        </w:tabs>
        <w:ind w:left="284" w:firstLine="425"/>
        <w:jc w:val="both"/>
        <w:outlineLvl w:val="0"/>
        <w:rPr>
          <w:rFonts w:ascii="Calibri" w:hAnsi="Calibri"/>
          <w:b/>
          <w:sz w:val="22"/>
          <w:szCs w:val="22"/>
          <w:lang w:val="fr-FR"/>
        </w:rPr>
      </w:pPr>
    </w:p>
    <w:p w:rsidR="00D216B4" w:rsidRPr="00D216B4" w:rsidRDefault="00D216B4" w:rsidP="00D216B4">
      <w:pPr>
        <w:shd w:val="clear" w:color="auto" w:fill="FFFFFF"/>
        <w:jc w:val="both"/>
        <w:rPr>
          <w:rFonts w:cs="Arial"/>
          <w:sz w:val="22"/>
          <w:szCs w:val="22"/>
          <w:lang w:val="fr-FR"/>
        </w:rPr>
      </w:pPr>
      <w:r w:rsidRPr="00D216B4">
        <w:rPr>
          <w:rFonts w:cs="Arial"/>
          <w:sz w:val="22"/>
          <w:szCs w:val="22"/>
          <w:u w:val="single"/>
          <w:lang w:val="fr-FR"/>
        </w:rPr>
        <w:t>L’article 50</w:t>
      </w:r>
      <w:r w:rsidRPr="00D216B4">
        <w:rPr>
          <w:rFonts w:cs="Arial"/>
          <w:sz w:val="22"/>
          <w:szCs w:val="22"/>
          <w:lang w:val="fr-FR"/>
        </w:rPr>
        <w:t xml:space="preserve"> concerne le </w:t>
      </w:r>
      <w:r w:rsidRPr="00D216B4">
        <w:rPr>
          <w:rFonts w:cs="Arial"/>
          <w:sz w:val="22"/>
          <w:szCs w:val="22"/>
          <w:u w:val="single"/>
          <w:lang w:val="fr-FR"/>
        </w:rPr>
        <w:t>régime « prime house »</w:t>
      </w:r>
      <w:r w:rsidRPr="00D216B4">
        <w:rPr>
          <w:rFonts w:cs="Arial"/>
          <w:sz w:val="22"/>
          <w:szCs w:val="22"/>
          <w:lang w:val="fr-FR"/>
        </w:rPr>
        <w:t>. Dans le cadre du programme « Neistart Lëtzebuerg », les aides financières du régime « prime house » avaient été substantiellement augmentées. Etaient visées les rénovations initiées d’ici la fin du 1</w:t>
      </w:r>
      <w:r w:rsidRPr="00D216B4">
        <w:rPr>
          <w:rFonts w:cs="Arial"/>
          <w:sz w:val="22"/>
          <w:szCs w:val="22"/>
          <w:vertAlign w:val="superscript"/>
          <w:lang w:val="fr-FR"/>
        </w:rPr>
        <w:t>er</w:t>
      </w:r>
      <w:r w:rsidRPr="00D216B4">
        <w:rPr>
          <w:rFonts w:cs="Arial"/>
          <w:sz w:val="22"/>
          <w:szCs w:val="22"/>
          <w:lang w:val="fr-FR"/>
        </w:rPr>
        <w:t xml:space="preserve"> trimestre 2021, ainsi que les installations techniques commandées au plus tard le 31 mars 2021. Les hausses de ces aides financières, limitées dans le temps, avaient nécessité un ajustement vers le haut, également limité dans le temps, des plafonds des aides définis dans la loi du 23 décembre 2016. L’article 50 </w:t>
      </w:r>
      <w:r w:rsidRPr="00D216B4">
        <w:rPr>
          <w:rFonts w:cs="Arial"/>
          <w:sz w:val="22"/>
          <w:szCs w:val="22"/>
          <w:u w:val="single"/>
          <w:lang w:val="fr-FR"/>
        </w:rPr>
        <w:t>étend la durée de validité de ces plafonds revus à la hausse</w:t>
      </w:r>
      <w:r w:rsidRPr="00D216B4">
        <w:rPr>
          <w:rFonts w:cs="Arial"/>
          <w:sz w:val="22"/>
          <w:szCs w:val="22"/>
          <w:lang w:val="fr-FR"/>
        </w:rPr>
        <w:t xml:space="preserve"> de neuf mois supplémentaires d’ici le 31 décembre 2021. </w:t>
      </w:r>
    </w:p>
    <w:p w:rsidR="004D21FF" w:rsidRPr="006A1522" w:rsidRDefault="004D21FF" w:rsidP="004D21FF">
      <w:pPr>
        <w:pStyle w:val="Retraitcorpsdetexte2"/>
        <w:ind w:left="284" w:firstLine="0"/>
        <w:rPr>
          <w:rFonts w:ascii="Calibri" w:hAnsi="Calibri" w:cs="Calibri"/>
          <w:color w:val="auto"/>
          <w:sz w:val="22"/>
          <w:szCs w:val="22"/>
          <w:lang w:val="fr-FR"/>
        </w:rPr>
      </w:pPr>
    </w:p>
    <w:p w:rsidR="004D21FF" w:rsidRPr="00985711" w:rsidRDefault="004D21FF" w:rsidP="00985711">
      <w:pPr>
        <w:pStyle w:val="Retraitcorpsdetexte2"/>
        <w:ind w:firstLine="0"/>
        <w:rPr>
          <w:rFonts w:ascii="Arial" w:hAnsi="Arial" w:cs="Arial"/>
          <w:color w:val="auto"/>
          <w:sz w:val="22"/>
          <w:szCs w:val="22"/>
          <w:lang w:val="fr-FR"/>
        </w:rPr>
      </w:pPr>
      <w:r w:rsidRPr="00985711">
        <w:rPr>
          <w:rFonts w:ascii="Arial" w:hAnsi="Arial" w:cs="Arial"/>
          <w:sz w:val="22"/>
          <w:szCs w:val="22"/>
          <w:u w:val="single"/>
          <w:lang w:val="fr-FR"/>
        </w:rPr>
        <w:t>L’article 53</w:t>
      </w:r>
      <w:r w:rsidRPr="00985711">
        <w:rPr>
          <w:rFonts w:ascii="Arial" w:hAnsi="Arial" w:cs="Arial"/>
          <w:sz w:val="22"/>
          <w:szCs w:val="22"/>
          <w:lang w:val="fr-FR"/>
        </w:rPr>
        <w:t xml:space="preserve"> a trait à la </w:t>
      </w:r>
      <w:r w:rsidRPr="00BE1673">
        <w:rPr>
          <w:rFonts w:ascii="Arial" w:hAnsi="Arial" w:cs="Arial"/>
          <w:color w:val="auto"/>
          <w:sz w:val="22"/>
          <w:szCs w:val="22"/>
          <w:u w:val="single"/>
          <w:lang w:val="fr-FR"/>
        </w:rPr>
        <w:t>gestion locative sociale</w:t>
      </w:r>
      <w:r w:rsidR="00985711" w:rsidRPr="00985711">
        <w:rPr>
          <w:rFonts w:ascii="Arial" w:hAnsi="Arial" w:cs="Arial"/>
          <w:color w:val="auto"/>
          <w:sz w:val="22"/>
          <w:szCs w:val="22"/>
          <w:lang w:val="fr-FR"/>
        </w:rPr>
        <w:t>.</w:t>
      </w:r>
      <w:r w:rsidRPr="00985711">
        <w:rPr>
          <w:rFonts w:ascii="Arial" w:hAnsi="Arial" w:cs="Arial"/>
          <w:color w:val="auto"/>
          <w:sz w:val="22"/>
          <w:szCs w:val="22"/>
          <w:lang w:val="fr-FR"/>
        </w:rPr>
        <w:t xml:space="preserve"> </w:t>
      </w:r>
      <w:r w:rsidR="00985711" w:rsidRPr="00985711">
        <w:rPr>
          <w:rFonts w:ascii="Arial" w:hAnsi="Arial" w:cs="Arial"/>
          <w:color w:val="auto"/>
          <w:sz w:val="22"/>
          <w:szCs w:val="22"/>
          <w:lang w:val="fr-FR"/>
        </w:rPr>
        <w:t xml:space="preserve">Il porte </w:t>
      </w:r>
      <w:r w:rsidRPr="00985711">
        <w:rPr>
          <w:rFonts w:ascii="Arial" w:hAnsi="Arial" w:cs="Arial"/>
          <w:color w:val="auto"/>
          <w:sz w:val="22"/>
          <w:szCs w:val="22"/>
          <w:lang w:val="fr-FR"/>
        </w:rPr>
        <w:t xml:space="preserve">la </w:t>
      </w:r>
      <w:r w:rsidRPr="00BE1673">
        <w:rPr>
          <w:rFonts w:ascii="Arial" w:hAnsi="Arial" w:cs="Arial"/>
          <w:color w:val="auto"/>
          <w:sz w:val="22"/>
          <w:szCs w:val="22"/>
          <w:u w:val="single"/>
          <w:lang w:val="fr-FR"/>
        </w:rPr>
        <w:t xml:space="preserve">participation </w:t>
      </w:r>
      <w:r w:rsidR="00985711" w:rsidRPr="00BE1673">
        <w:rPr>
          <w:rFonts w:ascii="Arial" w:hAnsi="Arial" w:cs="Arial"/>
          <w:color w:val="auto"/>
          <w:sz w:val="22"/>
          <w:szCs w:val="22"/>
          <w:u w:val="single"/>
          <w:lang w:val="fr-FR"/>
        </w:rPr>
        <w:t xml:space="preserve">étatique </w:t>
      </w:r>
      <w:r w:rsidRPr="00BE1673">
        <w:rPr>
          <w:rFonts w:ascii="Arial" w:hAnsi="Arial" w:cs="Arial"/>
          <w:color w:val="auto"/>
          <w:sz w:val="22"/>
          <w:szCs w:val="22"/>
          <w:u w:val="single"/>
          <w:lang w:val="fr-FR"/>
        </w:rPr>
        <w:t>forfaitaire de 100 à 120 euros par mois et par logement</w:t>
      </w:r>
      <w:r w:rsidRPr="00985711">
        <w:rPr>
          <w:rFonts w:ascii="Arial" w:hAnsi="Arial" w:cs="Arial"/>
          <w:color w:val="auto"/>
          <w:sz w:val="22"/>
          <w:szCs w:val="22"/>
          <w:lang w:val="fr-FR"/>
        </w:rPr>
        <w:t>, afin que celle-ci corresponde davantage aux besoins réels des acteurs sur le terrain.</w:t>
      </w:r>
      <w:r w:rsidR="00985711" w:rsidRPr="00985711">
        <w:rPr>
          <w:rFonts w:ascii="Arial" w:hAnsi="Arial" w:cs="Arial"/>
          <w:color w:val="auto"/>
          <w:sz w:val="22"/>
          <w:szCs w:val="22"/>
          <w:lang w:val="fr-FR"/>
        </w:rPr>
        <w:t xml:space="preserve"> </w:t>
      </w:r>
      <w:r w:rsidRPr="00985711">
        <w:rPr>
          <w:rFonts w:ascii="Arial" w:hAnsi="Arial" w:cs="Arial"/>
          <w:color w:val="auto"/>
          <w:sz w:val="22"/>
          <w:szCs w:val="22"/>
          <w:lang w:val="fr-FR"/>
        </w:rPr>
        <w:t>Dans la mesure où la participation financière forfaitaire de 120 euros par logement dans le cas d’une forme de cohabitation ne suffit pas à couvrir les frais de gestion de l’organisme conventionné, il est prévu de l’élever à 120 euros et en plus de la majorer de 20 euros pour chaque contrat de mise à disposition à partir du deuxième contrat de mise à disposition.</w:t>
      </w:r>
    </w:p>
    <w:p w:rsidR="004D21FF" w:rsidRPr="006A1522" w:rsidRDefault="004D21FF" w:rsidP="004D21FF">
      <w:pPr>
        <w:pStyle w:val="Retraitcorpsdetexte2"/>
        <w:ind w:left="284" w:firstLine="426"/>
        <w:rPr>
          <w:rFonts w:ascii="Calibri" w:hAnsi="Calibri" w:cs="Calibri"/>
          <w:color w:val="auto"/>
          <w:sz w:val="22"/>
          <w:szCs w:val="22"/>
          <w:lang w:val="fr-FR"/>
        </w:rPr>
      </w:pPr>
    </w:p>
    <w:p w:rsidR="00917F7A" w:rsidRPr="006627C9" w:rsidRDefault="00917F7A" w:rsidP="006627C9">
      <w:pPr>
        <w:pStyle w:val="Retraitcorpsdetexte2"/>
        <w:ind w:firstLine="0"/>
        <w:rPr>
          <w:rFonts w:ascii="Arial" w:hAnsi="Arial" w:cs="Arial"/>
          <w:sz w:val="22"/>
          <w:szCs w:val="22"/>
          <w:lang w:val="fr-FR"/>
        </w:rPr>
      </w:pPr>
      <w:r w:rsidRPr="006627C9">
        <w:rPr>
          <w:rFonts w:ascii="Arial" w:hAnsi="Arial" w:cs="Arial"/>
          <w:sz w:val="22"/>
          <w:szCs w:val="22"/>
          <w:u w:val="single"/>
          <w:lang w:val="fr-FR"/>
        </w:rPr>
        <w:t>L’article 54</w:t>
      </w:r>
      <w:r w:rsidRPr="006627C9">
        <w:rPr>
          <w:rFonts w:ascii="Arial" w:hAnsi="Arial" w:cs="Arial"/>
          <w:sz w:val="22"/>
          <w:szCs w:val="22"/>
          <w:lang w:val="fr-FR"/>
        </w:rPr>
        <w:t xml:space="preserve"> s’inscrit dans le contexte du </w:t>
      </w:r>
      <w:r w:rsidRPr="006627C9">
        <w:rPr>
          <w:rFonts w:ascii="Arial" w:hAnsi="Arial" w:cs="Arial"/>
          <w:sz w:val="22"/>
          <w:szCs w:val="22"/>
          <w:u w:val="single"/>
          <w:lang w:val="fr-FR"/>
        </w:rPr>
        <w:t>BREXIT</w:t>
      </w:r>
      <w:r w:rsidR="006627C9" w:rsidRPr="006627C9">
        <w:rPr>
          <w:rFonts w:ascii="Arial" w:hAnsi="Arial" w:cs="Arial"/>
          <w:sz w:val="22"/>
          <w:szCs w:val="22"/>
          <w:lang w:val="fr-FR"/>
        </w:rPr>
        <w:t xml:space="preserve">. </w:t>
      </w:r>
      <w:r w:rsidRPr="006627C9">
        <w:rPr>
          <w:rFonts w:ascii="Arial" w:hAnsi="Arial" w:cs="Arial"/>
          <w:sz w:val="22"/>
          <w:szCs w:val="22"/>
          <w:lang w:val="fr-FR"/>
        </w:rPr>
        <w:t xml:space="preserve">Il est apparu qu’il est nécessaire de créer de la sécurité juridique autour de l’exécution de </w:t>
      </w:r>
      <w:r w:rsidRPr="006627C9">
        <w:rPr>
          <w:rFonts w:ascii="Arial" w:hAnsi="Arial" w:cs="Arial"/>
          <w:sz w:val="22"/>
          <w:szCs w:val="22"/>
          <w:u w:val="single"/>
          <w:lang w:val="fr-FR"/>
        </w:rPr>
        <w:t>contrats d’assurance</w:t>
      </w:r>
      <w:r w:rsidRPr="006627C9">
        <w:rPr>
          <w:rFonts w:ascii="Arial" w:hAnsi="Arial" w:cs="Arial"/>
          <w:sz w:val="22"/>
          <w:szCs w:val="22"/>
          <w:lang w:val="fr-FR"/>
        </w:rPr>
        <w:t xml:space="preserve"> conclus antérieurement à la perte de l’autorisation d’une entreprise étrangère d’assurance directe de pratiquer des opérations d'assurance au Luxembourg. L’article </w:t>
      </w:r>
      <w:r w:rsidR="006627C9">
        <w:rPr>
          <w:rFonts w:ascii="Arial" w:hAnsi="Arial" w:cs="Arial"/>
          <w:sz w:val="22"/>
          <w:szCs w:val="22"/>
          <w:lang w:val="fr-FR"/>
        </w:rPr>
        <w:t xml:space="preserve">54 </w:t>
      </w:r>
      <w:r w:rsidRPr="006627C9">
        <w:rPr>
          <w:rFonts w:ascii="Arial" w:hAnsi="Arial" w:cs="Arial"/>
          <w:sz w:val="22"/>
          <w:szCs w:val="22"/>
          <w:lang w:val="fr-FR"/>
        </w:rPr>
        <w:t xml:space="preserve">dispose que ces contrats </w:t>
      </w:r>
      <w:r w:rsidRPr="006627C9">
        <w:rPr>
          <w:rFonts w:ascii="Arial" w:hAnsi="Arial" w:cs="Arial"/>
          <w:sz w:val="22"/>
          <w:szCs w:val="22"/>
          <w:u w:val="single"/>
          <w:lang w:val="fr-FR"/>
        </w:rPr>
        <w:t>restent valables</w:t>
      </w:r>
      <w:r w:rsidRPr="006627C9">
        <w:rPr>
          <w:rFonts w:ascii="Arial" w:hAnsi="Arial" w:cs="Arial"/>
          <w:sz w:val="22"/>
          <w:szCs w:val="22"/>
          <w:lang w:val="fr-FR"/>
        </w:rPr>
        <w:t xml:space="preserve"> et que l’exécution des engagements d’assurance résultant de tels contrats reste soumise aux dispositions de la loi modifiée du 27 juillet 1997 sur le contrat d'assurance. Ceci est d’autant plus important dans la mesure où les contrats d’assurance sont des relations contractuelles à long-terme avec des durées résiduelles pouvant courir jusqu’à 60 ans ou plus (comme par exemple pour des contrats d’assurance-vie à vie entière).</w:t>
      </w:r>
      <w:r w:rsidRPr="005255CF">
        <w:rPr>
          <w:rFonts w:ascii="Calibri" w:hAnsi="Calibri"/>
          <w:sz w:val="22"/>
          <w:szCs w:val="22"/>
          <w:lang w:val="fr-FR"/>
        </w:rPr>
        <w:t xml:space="preserve"> </w:t>
      </w:r>
      <w:r w:rsidR="006627C9" w:rsidRPr="006627C9">
        <w:rPr>
          <w:rFonts w:ascii="Arial" w:hAnsi="Arial" w:cs="Arial"/>
          <w:sz w:val="22"/>
          <w:szCs w:val="22"/>
          <w:lang w:val="fr-FR"/>
        </w:rPr>
        <w:t>L</w:t>
      </w:r>
      <w:r w:rsidRPr="006627C9">
        <w:rPr>
          <w:rFonts w:ascii="Arial" w:hAnsi="Arial" w:cs="Arial"/>
          <w:sz w:val="22"/>
          <w:szCs w:val="22"/>
          <w:lang w:val="fr-FR"/>
        </w:rPr>
        <w:t>es contrats existant au moment de la perte de l’autorisation ne pourront plus faire l’objet d’une reconduction - même tacite - ou d’opérations d'assurance directe donnant lieu à l'émission de primes. Cette interdiction ne concerne cependant pas le paiement de primes que le souscripteur est tenu de payer selon son contrat.</w:t>
      </w:r>
    </w:p>
    <w:p w:rsidR="00FA59ED" w:rsidRPr="00B359E8" w:rsidRDefault="00FA59ED" w:rsidP="00FA59ED">
      <w:pPr>
        <w:jc w:val="both"/>
        <w:rPr>
          <w:rFonts w:cs="Arial"/>
          <w:b/>
          <w:snapToGrid w:val="0"/>
          <w:color w:val="FF0000"/>
          <w:sz w:val="22"/>
          <w:szCs w:val="22"/>
          <w:lang w:val="fr-FR"/>
        </w:rPr>
      </w:pPr>
    </w:p>
    <w:p w:rsidR="004A7955" w:rsidRPr="004A7955" w:rsidRDefault="004A7955" w:rsidP="004A7955">
      <w:pPr>
        <w:jc w:val="both"/>
        <w:rPr>
          <w:rFonts w:cs="Arial"/>
          <w:sz w:val="22"/>
          <w:szCs w:val="22"/>
          <w:lang w:val="fr-FR"/>
        </w:rPr>
      </w:pPr>
      <w:r w:rsidRPr="004A7955">
        <w:rPr>
          <w:rFonts w:cs="Arial"/>
          <w:sz w:val="22"/>
          <w:szCs w:val="22"/>
          <w:u w:val="single"/>
          <w:lang w:val="fr-FR"/>
        </w:rPr>
        <w:t>L’article 55</w:t>
      </w:r>
      <w:r w:rsidRPr="004A7955">
        <w:rPr>
          <w:rFonts w:cs="Arial"/>
          <w:sz w:val="22"/>
          <w:szCs w:val="22"/>
          <w:lang w:val="fr-FR"/>
        </w:rPr>
        <w:t xml:space="preserve"> met en place la base légale nécessaire permettant au gouvernement de confirmer son </w:t>
      </w:r>
      <w:r w:rsidRPr="004A7955">
        <w:rPr>
          <w:rFonts w:cs="Arial"/>
          <w:sz w:val="22"/>
          <w:szCs w:val="22"/>
          <w:u w:val="single"/>
          <w:lang w:val="fr-FR"/>
        </w:rPr>
        <w:t>engagement financier envers le Fonds monétaire international</w:t>
      </w:r>
      <w:r w:rsidRPr="004A7955">
        <w:rPr>
          <w:rFonts w:cs="Arial"/>
          <w:sz w:val="22"/>
          <w:szCs w:val="22"/>
          <w:lang w:val="fr-FR"/>
        </w:rPr>
        <w:t xml:space="preserve"> à travers les accords d’emprunt bilatéraux (« Bilateral Borrowing Agreements, BBA ») et les nouveaux accords d’emprunt (« New Arrangements to Borrow, NAB »).</w:t>
      </w:r>
    </w:p>
    <w:p w:rsidR="008A6759" w:rsidRPr="00B359E8" w:rsidRDefault="008A6759" w:rsidP="005C1701">
      <w:pPr>
        <w:jc w:val="both"/>
        <w:rPr>
          <w:rFonts w:cs="Arial"/>
          <w:bCs/>
          <w:snapToGrid w:val="0"/>
          <w:color w:val="FF0000"/>
          <w:sz w:val="22"/>
          <w:szCs w:val="22"/>
          <w:lang w:val="fr-FR"/>
        </w:rPr>
      </w:pPr>
    </w:p>
    <w:sectPr w:rsidR="008A6759" w:rsidRPr="00B359E8" w:rsidSect="006C287A">
      <w:headerReference w:type="even" r:id="rId8"/>
      <w:footerReference w:type="even" r:id="rId9"/>
      <w:footerReference w:type="default" r:id="rId10"/>
      <w:endnotePr>
        <w:numFmt w:val="decimal"/>
      </w:endnotePr>
      <w:type w:val="continuous"/>
      <w:pgSz w:w="11907" w:h="16840" w:code="199"/>
      <w:pgMar w:top="1418" w:right="1417" w:bottom="1418" w:left="1418" w:header="720"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228F" w:rsidRDefault="0033228F">
      <w:r>
        <w:separator/>
      </w:r>
    </w:p>
  </w:endnote>
  <w:endnote w:type="continuationSeparator" w:id="0">
    <w:p w:rsidR="0033228F" w:rsidRDefault="003322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20007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pitch w:val="variable"/>
    <w:sig w:usb0="00000003" w:usb1="00000000" w:usb2="00000000" w:usb3="00000000" w:csb0="0000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Swis721 BT">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0C09" w:rsidRDefault="000F0C09">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0F0C09" w:rsidRDefault="000F0C09">
    <w:pPr>
      <w:pStyle w:val="Pieddepage"/>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68EF" w:rsidRDefault="008768EF">
    <w:pPr>
      <w:pStyle w:val="Pieddepage"/>
      <w:jc w:val="center"/>
    </w:pPr>
    <w:r w:rsidRPr="008768EF">
      <w:rPr>
        <w:sz w:val="20"/>
      </w:rPr>
      <w:fldChar w:fldCharType="begin"/>
    </w:r>
    <w:r w:rsidRPr="008768EF">
      <w:rPr>
        <w:sz w:val="20"/>
      </w:rPr>
      <w:instrText>PAGE   \* MERGEFORMAT</w:instrText>
    </w:r>
    <w:r w:rsidRPr="008768EF">
      <w:rPr>
        <w:sz w:val="20"/>
      </w:rPr>
      <w:fldChar w:fldCharType="separate"/>
    </w:r>
    <w:r w:rsidR="00F6311E" w:rsidRPr="00F6311E">
      <w:rPr>
        <w:noProof/>
        <w:sz w:val="20"/>
        <w:lang w:val="fr-FR"/>
      </w:rPr>
      <w:t>1</w:t>
    </w:r>
    <w:r w:rsidRPr="008768EF">
      <w:rPr>
        <w:sz w:val="20"/>
      </w:rPr>
      <w:fldChar w:fldCharType="end"/>
    </w:r>
  </w:p>
  <w:p w:rsidR="000F0C09" w:rsidRDefault="000F0C09">
    <w:pPr>
      <w:pStyle w:val="Pieddepage"/>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228F" w:rsidRDefault="0033228F">
      <w:r>
        <w:separator/>
      </w:r>
    </w:p>
  </w:footnote>
  <w:footnote w:type="continuationSeparator" w:id="0">
    <w:p w:rsidR="0033228F" w:rsidRDefault="0033228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0C09" w:rsidRDefault="000F0C09">
    <w:pPr>
      <w:pStyle w:val="En-tt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103</w:t>
    </w:r>
    <w:r>
      <w:rPr>
        <w:rStyle w:val="Numrodepage"/>
      </w:rPr>
      <w:fldChar w:fldCharType="end"/>
    </w:r>
  </w:p>
  <w:p w:rsidR="000F0C09" w:rsidRDefault="000F0C09">
    <w:pPr>
      <w:pStyle w:val="En-tt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B5A74"/>
    <w:multiLevelType w:val="multilevel"/>
    <w:tmpl w:val="F0F43FF6"/>
    <w:lvl w:ilvl="0">
      <w:start w:val="2"/>
      <w:numFmt w:val="decimal"/>
      <w:lvlText w:val="Art. %1."/>
      <w:lvlJc w:val="left"/>
      <w:pPr>
        <w:ind w:left="720" w:hanging="360"/>
      </w:pPr>
      <w:rPr>
        <w:rFonts w:hint="default"/>
        <w:b/>
        <w:i w:val="0"/>
        <w:u w:val="none"/>
      </w:rPr>
    </w:lvl>
    <w:lvl w:ilvl="1">
      <w:start w:val="1"/>
      <w:numFmt w:val="decimal"/>
      <w:lvlText w:val="Art. %2er."/>
      <w:lvlJc w:val="left"/>
      <w:pPr>
        <w:ind w:left="1440" w:hanging="360"/>
      </w:pPr>
      <w:rPr>
        <w:rFonts w:hint="default"/>
        <w:b/>
        <w:u w:val="none"/>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46C555A"/>
    <w:multiLevelType w:val="hybridMultilevel"/>
    <w:tmpl w:val="62304A72"/>
    <w:lvl w:ilvl="0" w:tplc="F9887ADE">
      <w:start w:val="24"/>
      <w:numFmt w:val="decimal"/>
      <w:lvlText w:val="Art. %1."/>
      <w:lvlJc w:val="left"/>
      <w:pPr>
        <w:ind w:left="786" w:hanging="360"/>
      </w:pPr>
      <w:rPr>
        <w:rFonts w:ascii="Arial" w:hAnsi="Arial" w:cs="Arial" w:hint="default"/>
        <w:b/>
        <w:i w:val="0"/>
        <w:sz w:val="22"/>
        <w:szCs w:val="22"/>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2" w15:restartNumberingAfterBreak="0">
    <w:nsid w:val="071C7DD6"/>
    <w:multiLevelType w:val="hybridMultilevel"/>
    <w:tmpl w:val="747C52E2"/>
    <w:lvl w:ilvl="0" w:tplc="1764A226">
      <w:start w:val="28"/>
      <w:numFmt w:val="decimal"/>
      <w:lvlText w:val="Art. %1."/>
      <w:lvlJc w:val="left"/>
      <w:pPr>
        <w:ind w:left="786" w:hanging="360"/>
      </w:pPr>
      <w:rPr>
        <w:rFonts w:ascii="Arial" w:hAnsi="Arial" w:cs="Arial" w:hint="default"/>
        <w:b/>
        <w:i w:val="0"/>
        <w:sz w:val="22"/>
        <w:szCs w:val="22"/>
        <w:lang w:val="en-US"/>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3" w15:restartNumberingAfterBreak="0">
    <w:nsid w:val="0A5D52C8"/>
    <w:multiLevelType w:val="hybridMultilevel"/>
    <w:tmpl w:val="0EAE7608"/>
    <w:lvl w:ilvl="0" w:tplc="B6324A88">
      <w:start w:val="1"/>
      <w:numFmt w:val="decimal"/>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20029A"/>
    <w:multiLevelType w:val="singleLevel"/>
    <w:tmpl w:val="F5FC4D7C"/>
    <w:lvl w:ilvl="0">
      <w:start w:val="4"/>
      <w:numFmt w:val="decimal"/>
      <w:pStyle w:val="Titre3"/>
      <w:lvlText w:val="Art. %1.-"/>
      <w:lvlJc w:val="left"/>
      <w:pPr>
        <w:tabs>
          <w:tab w:val="num" w:pos="1287"/>
        </w:tabs>
        <w:ind w:left="360" w:firstLine="207"/>
      </w:pPr>
      <w:rPr>
        <w:rFonts w:ascii="Times" w:hAnsi="Times" w:hint="default"/>
        <w:b/>
        <w:i w:val="0"/>
        <w:sz w:val="20"/>
      </w:rPr>
    </w:lvl>
  </w:abstractNum>
  <w:abstractNum w:abstractNumId="5" w15:restartNumberingAfterBreak="0">
    <w:nsid w:val="0C280458"/>
    <w:multiLevelType w:val="hybridMultilevel"/>
    <w:tmpl w:val="9ED04194"/>
    <w:lvl w:ilvl="0" w:tplc="C51AFF12">
      <w:start w:val="19"/>
      <w:numFmt w:val="decimal"/>
      <w:lvlText w:val="Art. %1."/>
      <w:lvlJc w:val="left"/>
      <w:pPr>
        <w:ind w:left="786" w:hanging="360"/>
      </w:pPr>
      <w:rPr>
        <w:rFonts w:ascii="Arial" w:hAnsi="Arial" w:cs="Arial" w:hint="default"/>
        <w:b/>
        <w:i w:val="0"/>
        <w:sz w:val="22"/>
        <w:szCs w:val="22"/>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6" w15:restartNumberingAfterBreak="0">
    <w:nsid w:val="0DA35AD3"/>
    <w:multiLevelType w:val="hybridMultilevel"/>
    <w:tmpl w:val="5FB04134"/>
    <w:lvl w:ilvl="0" w:tplc="BCE4FF74">
      <w:start w:val="22"/>
      <w:numFmt w:val="decimal"/>
      <w:lvlText w:val="Art. %1."/>
      <w:lvlJc w:val="left"/>
      <w:pPr>
        <w:ind w:left="786" w:hanging="360"/>
      </w:pPr>
      <w:rPr>
        <w:rFonts w:ascii="Arial" w:hAnsi="Arial" w:cs="Arial" w:hint="default"/>
        <w:b/>
        <w:i w:val="0"/>
        <w:sz w:val="22"/>
        <w:szCs w:val="22"/>
        <w:lang w:val="fr-LU"/>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7" w15:restartNumberingAfterBreak="0">
    <w:nsid w:val="10096008"/>
    <w:multiLevelType w:val="singleLevel"/>
    <w:tmpl w:val="9B4E68E4"/>
    <w:lvl w:ilvl="0">
      <w:numFmt w:val="none"/>
      <w:pStyle w:val="Titre1"/>
      <w:lvlText w:val=""/>
      <w:lvlJc w:val="left"/>
      <w:pPr>
        <w:tabs>
          <w:tab w:val="num" w:pos="360"/>
        </w:tabs>
      </w:pPr>
    </w:lvl>
  </w:abstractNum>
  <w:abstractNum w:abstractNumId="8" w15:restartNumberingAfterBreak="0">
    <w:nsid w:val="1A171F41"/>
    <w:multiLevelType w:val="hybridMultilevel"/>
    <w:tmpl w:val="5FB4D24E"/>
    <w:lvl w:ilvl="0" w:tplc="A05C9748">
      <w:start w:val="10"/>
      <w:numFmt w:val="decimal"/>
      <w:lvlText w:val="Art. %1."/>
      <w:lvlJc w:val="left"/>
      <w:pPr>
        <w:ind w:left="786" w:hanging="360"/>
      </w:pPr>
      <w:rPr>
        <w:rFonts w:ascii="Arial" w:hAnsi="Arial" w:cs="Arial" w:hint="default"/>
        <w:b/>
        <w:i w:val="0"/>
        <w:sz w:val="22"/>
        <w:szCs w:val="22"/>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9" w15:restartNumberingAfterBreak="0">
    <w:nsid w:val="1AD175EB"/>
    <w:multiLevelType w:val="hybridMultilevel"/>
    <w:tmpl w:val="E18A2E22"/>
    <w:lvl w:ilvl="0" w:tplc="3E607738">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1C66D0"/>
    <w:multiLevelType w:val="hybridMultilevel"/>
    <w:tmpl w:val="279AB51E"/>
    <w:lvl w:ilvl="0" w:tplc="D85A95D2">
      <w:start w:val="5"/>
      <w:numFmt w:val="decimal"/>
      <w:lvlText w:val="Art. %1."/>
      <w:lvlJc w:val="left"/>
      <w:pPr>
        <w:ind w:left="5039" w:hanging="360"/>
      </w:pPr>
      <w:rPr>
        <w:rFonts w:ascii="Arial" w:hAnsi="Arial" w:cs="Arial" w:hint="default"/>
        <w:b/>
        <w:i w:val="0"/>
        <w:sz w:val="22"/>
        <w:szCs w:val="22"/>
      </w:rPr>
    </w:lvl>
    <w:lvl w:ilvl="1" w:tplc="140C0019" w:tentative="1">
      <w:start w:val="1"/>
      <w:numFmt w:val="lowerLetter"/>
      <w:lvlText w:val="%2."/>
      <w:lvlJc w:val="left"/>
      <w:pPr>
        <w:ind w:left="3142" w:hanging="360"/>
      </w:pPr>
    </w:lvl>
    <w:lvl w:ilvl="2" w:tplc="140C001B" w:tentative="1">
      <w:start w:val="1"/>
      <w:numFmt w:val="lowerRoman"/>
      <w:lvlText w:val="%3."/>
      <w:lvlJc w:val="right"/>
      <w:pPr>
        <w:ind w:left="3862" w:hanging="180"/>
      </w:pPr>
    </w:lvl>
    <w:lvl w:ilvl="3" w:tplc="140C000F" w:tentative="1">
      <w:start w:val="1"/>
      <w:numFmt w:val="decimal"/>
      <w:lvlText w:val="%4."/>
      <w:lvlJc w:val="left"/>
      <w:pPr>
        <w:ind w:left="4582" w:hanging="360"/>
      </w:pPr>
    </w:lvl>
    <w:lvl w:ilvl="4" w:tplc="140C0019" w:tentative="1">
      <w:start w:val="1"/>
      <w:numFmt w:val="lowerLetter"/>
      <w:lvlText w:val="%5."/>
      <w:lvlJc w:val="left"/>
      <w:pPr>
        <w:ind w:left="5302" w:hanging="360"/>
      </w:pPr>
    </w:lvl>
    <w:lvl w:ilvl="5" w:tplc="140C001B" w:tentative="1">
      <w:start w:val="1"/>
      <w:numFmt w:val="lowerRoman"/>
      <w:lvlText w:val="%6."/>
      <w:lvlJc w:val="right"/>
      <w:pPr>
        <w:ind w:left="6022" w:hanging="180"/>
      </w:pPr>
    </w:lvl>
    <w:lvl w:ilvl="6" w:tplc="140C000F" w:tentative="1">
      <w:start w:val="1"/>
      <w:numFmt w:val="decimal"/>
      <w:lvlText w:val="%7."/>
      <w:lvlJc w:val="left"/>
      <w:pPr>
        <w:ind w:left="6742" w:hanging="360"/>
      </w:pPr>
    </w:lvl>
    <w:lvl w:ilvl="7" w:tplc="140C0019" w:tentative="1">
      <w:start w:val="1"/>
      <w:numFmt w:val="lowerLetter"/>
      <w:lvlText w:val="%8."/>
      <w:lvlJc w:val="left"/>
      <w:pPr>
        <w:ind w:left="7462" w:hanging="360"/>
      </w:pPr>
    </w:lvl>
    <w:lvl w:ilvl="8" w:tplc="140C001B" w:tentative="1">
      <w:start w:val="1"/>
      <w:numFmt w:val="lowerRoman"/>
      <w:lvlText w:val="%9."/>
      <w:lvlJc w:val="right"/>
      <w:pPr>
        <w:ind w:left="8182" w:hanging="180"/>
      </w:pPr>
    </w:lvl>
  </w:abstractNum>
  <w:abstractNum w:abstractNumId="11" w15:restartNumberingAfterBreak="0">
    <w:nsid w:val="2E7867E8"/>
    <w:multiLevelType w:val="singleLevel"/>
    <w:tmpl w:val="604000D6"/>
    <w:lvl w:ilvl="0">
      <w:numFmt w:val="none"/>
      <w:pStyle w:val="Lgende"/>
      <w:lvlText w:val=""/>
      <w:lvlJc w:val="left"/>
      <w:pPr>
        <w:tabs>
          <w:tab w:val="num" w:pos="360"/>
        </w:tabs>
      </w:pPr>
    </w:lvl>
  </w:abstractNum>
  <w:abstractNum w:abstractNumId="12" w15:restartNumberingAfterBreak="0">
    <w:nsid w:val="323974DE"/>
    <w:multiLevelType w:val="hybridMultilevel"/>
    <w:tmpl w:val="90E675A6"/>
    <w:lvl w:ilvl="0" w:tplc="3C10898C">
      <w:start w:val="15"/>
      <w:numFmt w:val="decimal"/>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13" w15:restartNumberingAfterBreak="0">
    <w:nsid w:val="46AA3A65"/>
    <w:multiLevelType w:val="hybridMultilevel"/>
    <w:tmpl w:val="0390FC52"/>
    <w:lvl w:ilvl="0" w:tplc="863A012E">
      <w:start w:val="1"/>
      <w:numFmt w:val="decimal"/>
      <w:lvlText w:val="%1°"/>
      <w:lvlJc w:val="left"/>
      <w:pPr>
        <w:ind w:left="720" w:hanging="360"/>
      </w:pPr>
      <w:rPr>
        <w:rFonts w:hint="default"/>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DCB288B"/>
    <w:multiLevelType w:val="hybridMultilevel"/>
    <w:tmpl w:val="221A8770"/>
    <w:lvl w:ilvl="0" w:tplc="9CB0865A">
      <w:start w:val="41"/>
      <w:numFmt w:val="decimal"/>
      <w:lvlText w:val="Art. %1."/>
      <w:lvlJc w:val="left"/>
      <w:pPr>
        <w:ind w:left="786" w:hanging="360"/>
      </w:pPr>
      <w:rPr>
        <w:rFonts w:ascii="Arial" w:hAnsi="Arial" w:cs="Arial" w:hint="default"/>
        <w:b/>
        <w:i w:val="0"/>
        <w:sz w:val="22"/>
        <w:szCs w:val="22"/>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15" w15:restartNumberingAfterBreak="0">
    <w:nsid w:val="50076BCA"/>
    <w:multiLevelType w:val="hybridMultilevel"/>
    <w:tmpl w:val="3F561500"/>
    <w:lvl w:ilvl="0" w:tplc="29B2DBFC">
      <w:start w:val="3"/>
      <w:numFmt w:val="decimal"/>
      <w:lvlText w:val="Art. %1."/>
      <w:lvlJc w:val="left"/>
      <w:pPr>
        <w:ind w:left="927" w:hanging="360"/>
      </w:pPr>
      <w:rPr>
        <w:rFonts w:ascii="Arial" w:hAnsi="Arial" w:cs="Arial" w:hint="default"/>
        <w:b/>
        <w:i w:val="0"/>
        <w:sz w:val="22"/>
        <w:szCs w:val="22"/>
        <w:lang w:val="fr-FR"/>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528A4073"/>
    <w:multiLevelType w:val="hybridMultilevel"/>
    <w:tmpl w:val="97B0B59C"/>
    <w:lvl w:ilvl="0" w:tplc="2676DCEA">
      <w:start w:val="6"/>
      <w:numFmt w:val="decimal"/>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17" w15:restartNumberingAfterBreak="0">
    <w:nsid w:val="5363437C"/>
    <w:multiLevelType w:val="hybridMultilevel"/>
    <w:tmpl w:val="495CE142"/>
    <w:lvl w:ilvl="0" w:tplc="558A04CE">
      <w:start w:val="1"/>
      <w:numFmt w:val="lowerLetter"/>
      <w:lvlText w:val="%1)"/>
      <w:lvlJc w:val="left"/>
      <w:pPr>
        <w:ind w:left="1080" w:hanging="360"/>
      </w:pPr>
      <w:rPr>
        <w:rFonts w:ascii="Calibri" w:eastAsia="Calibri" w:hAnsi="Calibri" w:cs="Times New Roman"/>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8" w15:restartNumberingAfterBreak="0">
    <w:nsid w:val="668F4EAB"/>
    <w:multiLevelType w:val="hybridMultilevel"/>
    <w:tmpl w:val="91249B80"/>
    <w:lvl w:ilvl="0" w:tplc="4948B406">
      <w:start w:val="36"/>
      <w:numFmt w:val="decimal"/>
      <w:lvlText w:val="Art. %1."/>
      <w:lvlJc w:val="left"/>
      <w:pPr>
        <w:ind w:left="786" w:hanging="360"/>
      </w:pPr>
      <w:rPr>
        <w:rFonts w:ascii="Arial" w:hAnsi="Arial" w:cs="Arial" w:hint="default"/>
        <w:b/>
        <w:i w:val="0"/>
        <w:sz w:val="22"/>
        <w:szCs w:val="22"/>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19" w15:restartNumberingAfterBreak="0">
    <w:nsid w:val="674B7F03"/>
    <w:multiLevelType w:val="hybridMultilevel"/>
    <w:tmpl w:val="9CE80C58"/>
    <w:lvl w:ilvl="0" w:tplc="F168A60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70C80869"/>
    <w:multiLevelType w:val="hybridMultilevel"/>
    <w:tmpl w:val="9FC4AF76"/>
    <w:lvl w:ilvl="0" w:tplc="D39A3C52">
      <w:start w:val="1"/>
      <w:numFmt w:val="decimal"/>
      <w:lvlText w:val="%1)"/>
      <w:lvlJc w:val="left"/>
      <w:pPr>
        <w:ind w:left="705" w:hanging="705"/>
      </w:pPr>
      <w:rPr>
        <w:rFonts w:hint="default"/>
      </w:rPr>
    </w:lvl>
    <w:lvl w:ilvl="1" w:tplc="140C0019" w:tentative="1">
      <w:start w:val="1"/>
      <w:numFmt w:val="lowerLetter"/>
      <w:lvlText w:val="%2."/>
      <w:lvlJc w:val="left"/>
      <w:pPr>
        <w:ind w:left="1080" w:hanging="360"/>
      </w:pPr>
    </w:lvl>
    <w:lvl w:ilvl="2" w:tplc="140C001B" w:tentative="1">
      <w:start w:val="1"/>
      <w:numFmt w:val="lowerRoman"/>
      <w:lvlText w:val="%3."/>
      <w:lvlJc w:val="right"/>
      <w:pPr>
        <w:ind w:left="1800" w:hanging="180"/>
      </w:pPr>
    </w:lvl>
    <w:lvl w:ilvl="3" w:tplc="140C000F" w:tentative="1">
      <w:start w:val="1"/>
      <w:numFmt w:val="decimal"/>
      <w:lvlText w:val="%4."/>
      <w:lvlJc w:val="left"/>
      <w:pPr>
        <w:ind w:left="2520" w:hanging="360"/>
      </w:pPr>
    </w:lvl>
    <w:lvl w:ilvl="4" w:tplc="140C0019" w:tentative="1">
      <w:start w:val="1"/>
      <w:numFmt w:val="lowerLetter"/>
      <w:lvlText w:val="%5."/>
      <w:lvlJc w:val="left"/>
      <w:pPr>
        <w:ind w:left="3240" w:hanging="360"/>
      </w:pPr>
    </w:lvl>
    <w:lvl w:ilvl="5" w:tplc="140C001B" w:tentative="1">
      <w:start w:val="1"/>
      <w:numFmt w:val="lowerRoman"/>
      <w:lvlText w:val="%6."/>
      <w:lvlJc w:val="right"/>
      <w:pPr>
        <w:ind w:left="3960" w:hanging="180"/>
      </w:pPr>
    </w:lvl>
    <w:lvl w:ilvl="6" w:tplc="140C000F" w:tentative="1">
      <w:start w:val="1"/>
      <w:numFmt w:val="decimal"/>
      <w:lvlText w:val="%7."/>
      <w:lvlJc w:val="left"/>
      <w:pPr>
        <w:ind w:left="4680" w:hanging="360"/>
      </w:pPr>
    </w:lvl>
    <w:lvl w:ilvl="7" w:tplc="140C0019" w:tentative="1">
      <w:start w:val="1"/>
      <w:numFmt w:val="lowerLetter"/>
      <w:lvlText w:val="%8."/>
      <w:lvlJc w:val="left"/>
      <w:pPr>
        <w:ind w:left="5400" w:hanging="360"/>
      </w:pPr>
    </w:lvl>
    <w:lvl w:ilvl="8" w:tplc="140C001B" w:tentative="1">
      <w:start w:val="1"/>
      <w:numFmt w:val="lowerRoman"/>
      <w:lvlText w:val="%9."/>
      <w:lvlJc w:val="right"/>
      <w:pPr>
        <w:ind w:left="6120" w:hanging="180"/>
      </w:pPr>
    </w:lvl>
  </w:abstractNum>
  <w:abstractNum w:abstractNumId="21" w15:restartNumberingAfterBreak="0">
    <w:nsid w:val="715D558B"/>
    <w:multiLevelType w:val="hybridMultilevel"/>
    <w:tmpl w:val="FA8C96D4"/>
    <w:lvl w:ilvl="0" w:tplc="C2942FA2">
      <w:start w:val="44"/>
      <w:numFmt w:val="decimal"/>
      <w:lvlText w:val="Art. %1."/>
      <w:lvlJc w:val="left"/>
      <w:pPr>
        <w:ind w:left="360" w:hanging="360"/>
      </w:pPr>
      <w:rPr>
        <w:rFonts w:ascii="Arial" w:hAnsi="Arial" w:cs="Arial" w:hint="default"/>
        <w:b/>
        <w:i w:val="0"/>
        <w:sz w:val="22"/>
        <w:szCs w:val="22"/>
      </w:rPr>
    </w:lvl>
    <w:lvl w:ilvl="1" w:tplc="140C0019" w:tentative="1">
      <w:start w:val="1"/>
      <w:numFmt w:val="lowerLetter"/>
      <w:lvlText w:val="%2."/>
      <w:lvlJc w:val="left"/>
      <w:pPr>
        <w:ind w:left="1014" w:hanging="360"/>
      </w:pPr>
    </w:lvl>
    <w:lvl w:ilvl="2" w:tplc="140C001B" w:tentative="1">
      <w:start w:val="1"/>
      <w:numFmt w:val="lowerRoman"/>
      <w:lvlText w:val="%3."/>
      <w:lvlJc w:val="right"/>
      <w:pPr>
        <w:ind w:left="1734" w:hanging="180"/>
      </w:pPr>
    </w:lvl>
    <w:lvl w:ilvl="3" w:tplc="140C000F" w:tentative="1">
      <w:start w:val="1"/>
      <w:numFmt w:val="decimal"/>
      <w:lvlText w:val="%4."/>
      <w:lvlJc w:val="left"/>
      <w:pPr>
        <w:ind w:left="2454" w:hanging="360"/>
      </w:pPr>
    </w:lvl>
    <w:lvl w:ilvl="4" w:tplc="140C0019" w:tentative="1">
      <w:start w:val="1"/>
      <w:numFmt w:val="lowerLetter"/>
      <w:lvlText w:val="%5."/>
      <w:lvlJc w:val="left"/>
      <w:pPr>
        <w:ind w:left="3174" w:hanging="360"/>
      </w:pPr>
    </w:lvl>
    <w:lvl w:ilvl="5" w:tplc="140C001B" w:tentative="1">
      <w:start w:val="1"/>
      <w:numFmt w:val="lowerRoman"/>
      <w:lvlText w:val="%6."/>
      <w:lvlJc w:val="right"/>
      <w:pPr>
        <w:ind w:left="3894" w:hanging="180"/>
      </w:pPr>
    </w:lvl>
    <w:lvl w:ilvl="6" w:tplc="140C000F" w:tentative="1">
      <w:start w:val="1"/>
      <w:numFmt w:val="decimal"/>
      <w:lvlText w:val="%7."/>
      <w:lvlJc w:val="left"/>
      <w:pPr>
        <w:ind w:left="4614" w:hanging="360"/>
      </w:pPr>
    </w:lvl>
    <w:lvl w:ilvl="7" w:tplc="140C0019" w:tentative="1">
      <w:start w:val="1"/>
      <w:numFmt w:val="lowerLetter"/>
      <w:lvlText w:val="%8."/>
      <w:lvlJc w:val="left"/>
      <w:pPr>
        <w:ind w:left="5334" w:hanging="360"/>
      </w:pPr>
    </w:lvl>
    <w:lvl w:ilvl="8" w:tplc="140C001B" w:tentative="1">
      <w:start w:val="1"/>
      <w:numFmt w:val="lowerRoman"/>
      <w:lvlText w:val="%9."/>
      <w:lvlJc w:val="right"/>
      <w:pPr>
        <w:ind w:left="6054" w:hanging="180"/>
      </w:pPr>
    </w:lvl>
  </w:abstractNum>
  <w:num w:numId="1">
    <w:abstractNumId w:val="7"/>
  </w:num>
  <w:num w:numId="2">
    <w:abstractNumId w:val="11"/>
  </w:num>
  <w:num w:numId="3">
    <w:abstractNumId w:val="4"/>
  </w:num>
  <w:num w:numId="4">
    <w:abstractNumId w:val="15"/>
  </w:num>
  <w:num w:numId="5">
    <w:abstractNumId w:val="20"/>
  </w:num>
  <w:num w:numId="6">
    <w:abstractNumId w:val="10"/>
  </w:num>
  <w:num w:numId="7">
    <w:abstractNumId w:val="8"/>
  </w:num>
  <w:num w:numId="8">
    <w:abstractNumId w:val="5"/>
  </w:num>
  <w:num w:numId="9">
    <w:abstractNumId w:val="6"/>
  </w:num>
  <w:num w:numId="10">
    <w:abstractNumId w:val="1"/>
  </w:num>
  <w:num w:numId="11">
    <w:abstractNumId w:val="2"/>
  </w:num>
  <w:num w:numId="12">
    <w:abstractNumId w:val="18"/>
  </w:num>
  <w:num w:numId="13">
    <w:abstractNumId w:val="14"/>
  </w:num>
  <w:num w:numId="14">
    <w:abstractNumId w:val="21"/>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num>
  <w:num w:numId="19">
    <w:abstractNumId w:val="0"/>
  </w:num>
  <w:num w:numId="20">
    <w:abstractNumId w:val="3"/>
  </w:num>
  <w:num w:numId="21">
    <w:abstractNumId w:val="9"/>
  </w:num>
  <w:num w:numId="22">
    <w:abstractNumId w:val="1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intFractionalCharacterWidth/>
  <w:embedSystemFonts/>
  <w:activeWritingStyle w:appName="MSWord" w:lang="fr-LU" w:vendorID="64" w:dllVersion="6" w:nlCheck="1" w:checkStyle="0"/>
  <w:activeWritingStyle w:appName="MSWord" w:lang="fr-FR" w:vendorID="64" w:dllVersion="6" w:nlCheck="1" w:checkStyle="0"/>
  <w:activeWritingStyle w:appName="MSWord" w:lang="fr-CH" w:vendorID="64" w:dllVersion="6" w:nlCheck="1" w:checkStyle="0"/>
  <w:activeWritingStyle w:appName="MSWord" w:lang="en-US" w:vendorID="64" w:dllVersion="6" w:nlCheck="1" w:checkStyle="0"/>
  <w:activeWritingStyle w:appName="MSWord" w:lang="de-DE" w:vendorID="64" w:dllVersion="6" w:nlCheck="1" w:checkStyle="0"/>
  <w:activeWritingStyle w:appName="MSWord" w:lang="en-GB" w:vendorID="64" w:dllVersion="6" w:nlCheck="1" w:checkStyle="1"/>
  <w:activeWritingStyle w:appName="MSWord" w:lang="fr-CA" w:vendorID="64" w:dllVersion="6" w:nlCheck="1" w:checkStyle="1"/>
  <w:activeWritingStyle w:appName="MSWord" w:lang="fr-LU" w:vendorID="64" w:dllVersion="4096" w:nlCheck="1" w:checkStyle="0"/>
  <w:activeWritingStyle w:appName="MSWord" w:lang="fr-FR" w:vendorID="64" w:dllVersion="4096" w:nlCheck="1" w:checkStyle="0"/>
  <w:activeWritingStyle w:appName="MSWord" w:lang="en-US" w:vendorID="64" w:dllVersion="4096" w:nlCheck="1" w:checkStyle="0"/>
  <w:activeWritingStyle w:appName="MSWord" w:lang="de-DE" w:vendorID="64" w:dllVersion="4096" w:nlCheck="1" w:checkStyle="0"/>
  <w:activeWritingStyle w:appName="MSWord" w:lang="fr-BE" w:vendorID="64" w:dllVersion="4096" w:nlCheck="1" w:checkStyle="0"/>
  <w:activeWritingStyle w:appName="MSWord" w:lang="fr-FR"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37"/>
  <w:hyphenationZone w:val="0"/>
  <w:doNotHyphenateCaps/>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pos w:val="sectEnd"/>
    <w:numFmt w:val="decimal"/>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C73AE"/>
    <w:rsid w:val="0000012C"/>
    <w:rsid w:val="00003185"/>
    <w:rsid w:val="00003346"/>
    <w:rsid w:val="000060DD"/>
    <w:rsid w:val="000063A8"/>
    <w:rsid w:val="00006956"/>
    <w:rsid w:val="0000756F"/>
    <w:rsid w:val="00010FDA"/>
    <w:rsid w:val="00012024"/>
    <w:rsid w:val="0001232E"/>
    <w:rsid w:val="0001261A"/>
    <w:rsid w:val="00012B1D"/>
    <w:rsid w:val="0001334D"/>
    <w:rsid w:val="00013406"/>
    <w:rsid w:val="00013BFE"/>
    <w:rsid w:val="000141D4"/>
    <w:rsid w:val="00015BE4"/>
    <w:rsid w:val="00015FFE"/>
    <w:rsid w:val="0001624C"/>
    <w:rsid w:val="000165DB"/>
    <w:rsid w:val="00017147"/>
    <w:rsid w:val="0001726D"/>
    <w:rsid w:val="0002049B"/>
    <w:rsid w:val="00020768"/>
    <w:rsid w:val="00021373"/>
    <w:rsid w:val="00022C98"/>
    <w:rsid w:val="00023834"/>
    <w:rsid w:val="00025987"/>
    <w:rsid w:val="00025FE1"/>
    <w:rsid w:val="00027DC5"/>
    <w:rsid w:val="00027E63"/>
    <w:rsid w:val="00031A8F"/>
    <w:rsid w:val="00032989"/>
    <w:rsid w:val="00032C83"/>
    <w:rsid w:val="00033131"/>
    <w:rsid w:val="00033382"/>
    <w:rsid w:val="00033EF8"/>
    <w:rsid w:val="00034186"/>
    <w:rsid w:val="000346D5"/>
    <w:rsid w:val="000359C3"/>
    <w:rsid w:val="00035A30"/>
    <w:rsid w:val="00035BE6"/>
    <w:rsid w:val="00035C4A"/>
    <w:rsid w:val="000402DB"/>
    <w:rsid w:val="00040E69"/>
    <w:rsid w:val="00041840"/>
    <w:rsid w:val="00042635"/>
    <w:rsid w:val="0004280E"/>
    <w:rsid w:val="000428E1"/>
    <w:rsid w:val="00042C55"/>
    <w:rsid w:val="00043442"/>
    <w:rsid w:val="00043A76"/>
    <w:rsid w:val="00044F51"/>
    <w:rsid w:val="00045012"/>
    <w:rsid w:val="000450DB"/>
    <w:rsid w:val="00045D00"/>
    <w:rsid w:val="00046B10"/>
    <w:rsid w:val="00047238"/>
    <w:rsid w:val="00047D82"/>
    <w:rsid w:val="00050F1B"/>
    <w:rsid w:val="00052604"/>
    <w:rsid w:val="0005618F"/>
    <w:rsid w:val="00056C88"/>
    <w:rsid w:val="0005731E"/>
    <w:rsid w:val="000573B0"/>
    <w:rsid w:val="00060748"/>
    <w:rsid w:val="00060E9A"/>
    <w:rsid w:val="000610BD"/>
    <w:rsid w:val="00062819"/>
    <w:rsid w:val="000639E3"/>
    <w:rsid w:val="00064A66"/>
    <w:rsid w:val="00066BBA"/>
    <w:rsid w:val="000676B5"/>
    <w:rsid w:val="000679A4"/>
    <w:rsid w:val="0007233A"/>
    <w:rsid w:val="0007344B"/>
    <w:rsid w:val="0007430D"/>
    <w:rsid w:val="00074F1F"/>
    <w:rsid w:val="00075C22"/>
    <w:rsid w:val="00075CC1"/>
    <w:rsid w:val="000774D6"/>
    <w:rsid w:val="00077938"/>
    <w:rsid w:val="00077D33"/>
    <w:rsid w:val="00077DB3"/>
    <w:rsid w:val="000801A0"/>
    <w:rsid w:val="000803F2"/>
    <w:rsid w:val="00080450"/>
    <w:rsid w:val="0008071D"/>
    <w:rsid w:val="00081D06"/>
    <w:rsid w:val="000823A9"/>
    <w:rsid w:val="000828B8"/>
    <w:rsid w:val="0008316B"/>
    <w:rsid w:val="000846B2"/>
    <w:rsid w:val="000868C4"/>
    <w:rsid w:val="000868EC"/>
    <w:rsid w:val="000874AB"/>
    <w:rsid w:val="000913D5"/>
    <w:rsid w:val="00096173"/>
    <w:rsid w:val="0009650B"/>
    <w:rsid w:val="0009652C"/>
    <w:rsid w:val="000A1016"/>
    <w:rsid w:val="000A108B"/>
    <w:rsid w:val="000A1570"/>
    <w:rsid w:val="000A2680"/>
    <w:rsid w:val="000A41E5"/>
    <w:rsid w:val="000A47AB"/>
    <w:rsid w:val="000A5C49"/>
    <w:rsid w:val="000A737C"/>
    <w:rsid w:val="000A765B"/>
    <w:rsid w:val="000B00B2"/>
    <w:rsid w:val="000B1E4B"/>
    <w:rsid w:val="000B3934"/>
    <w:rsid w:val="000B3DD8"/>
    <w:rsid w:val="000B520F"/>
    <w:rsid w:val="000B636A"/>
    <w:rsid w:val="000B639D"/>
    <w:rsid w:val="000B645B"/>
    <w:rsid w:val="000B668B"/>
    <w:rsid w:val="000B7F55"/>
    <w:rsid w:val="000C0037"/>
    <w:rsid w:val="000C051E"/>
    <w:rsid w:val="000C0824"/>
    <w:rsid w:val="000C0C2C"/>
    <w:rsid w:val="000C1255"/>
    <w:rsid w:val="000C215A"/>
    <w:rsid w:val="000C2522"/>
    <w:rsid w:val="000C4F77"/>
    <w:rsid w:val="000C5448"/>
    <w:rsid w:val="000C56D4"/>
    <w:rsid w:val="000C6296"/>
    <w:rsid w:val="000C6A7B"/>
    <w:rsid w:val="000C7D97"/>
    <w:rsid w:val="000D001C"/>
    <w:rsid w:val="000D050B"/>
    <w:rsid w:val="000D1B93"/>
    <w:rsid w:val="000D2E8B"/>
    <w:rsid w:val="000D2EF9"/>
    <w:rsid w:val="000D355A"/>
    <w:rsid w:val="000D3B5A"/>
    <w:rsid w:val="000D3BE7"/>
    <w:rsid w:val="000D4021"/>
    <w:rsid w:val="000D432A"/>
    <w:rsid w:val="000D4789"/>
    <w:rsid w:val="000E0355"/>
    <w:rsid w:val="000E1E9B"/>
    <w:rsid w:val="000E2F2B"/>
    <w:rsid w:val="000E36AE"/>
    <w:rsid w:val="000E4208"/>
    <w:rsid w:val="000E728A"/>
    <w:rsid w:val="000E7615"/>
    <w:rsid w:val="000F09A1"/>
    <w:rsid w:val="000F0C09"/>
    <w:rsid w:val="000F0F47"/>
    <w:rsid w:val="000F1FBC"/>
    <w:rsid w:val="000F32B4"/>
    <w:rsid w:val="000F3660"/>
    <w:rsid w:val="000F4943"/>
    <w:rsid w:val="000F5F99"/>
    <w:rsid w:val="000F6A43"/>
    <w:rsid w:val="000F726C"/>
    <w:rsid w:val="000F7877"/>
    <w:rsid w:val="000F7F66"/>
    <w:rsid w:val="001002A9"/>
    <w:rsid w:val="00100322"/>
    <w:rsid w:val="00100E83"/>
    <w:rsid w:val="001015AE"/>
    <w:rsid w:val="001049FA"/>
    <w:rsid w:val="001053B1"/>
    <w:rsid w:val="0010580B"/>
    <w:rsid w:val="00105853"/>
    <w:rsid w:val="00105E56"/>
    <w:rsid w:val="0010635B"/>
    <w:rsid w:val="001066EA"/>
    <w:rsid w:val="00107716"/>
    <w:rsid w:val="00110134"/>
    <w:rsid w:val="00110293"/>
    <w:rsid w:val="00111D0A"/>
    <w:rsid w:val="00112164"/>
    <w:rsid w:val="00113CCC"/>
    <w:rsid w:val="00113F65"/>
    <w:rsid w:val="00115427"/>
    <w:rsid w:val="00115AC4"/>
    <w:rsid w:val="001167A2"/>
    <w:rsid w:val="00117B41"/>
    <w:rsid w:val="00120BAB"/>
    <w:rsid w:val="0012207A"/>
    <w:rsid w:val="001230F7"/>
    <w:rsid w:val="001238E1"/>
    <w:rsid w:val="001246A0"/>
    <w:rsid w:val="00130EFC"/>
    <w:rsid w:val="001319CE"/>
    <w:rsid w:val="00132B95"/>
    <w:rsid w:val="00132E4F"/>
    <w:rsid w:val="00133C55"/>
    <w:rsid w:val="0013420B"/>
    <w:rsid w:val="0013444F"/>
    <w:rsid w:val="00135AE7"/>
    <w:rsid w:val="0013663F"/>
    <w:rsid w:val="00136F5C"/>
    <w:rsid w:val="001379CB"/>
    <w:rsid w:val="00137FA4"/>
    <w:rsid w:val="00140C8C"/>
    <w:rsid w:val="00142B2E"/>
    <w:rsid w:val="00144102"/>
    <w:rsid w:val="00144784"/>
    <w:rsid w:val="00145771"/>
    <w:rsid w:val="00145888"/>
    <w:rsid w:val="0014592E"/>
    <w:rsid w:val="00146487"/>
    <w:rsid w:val="00147BE1"/>
    <w:rsid w:val="00147F76"/>
    <w:rsid w:val="0015045D"/>
    <w:rsid w:val="00150BC6"/>
    <w:rsid w:val="001519C7"/>
    <w:rsid w:val="00151A99"/>
    <w:rsid w:val="00151E76"/>
    <w:rsid w:val="00153569"/>
    <w:rsid w:val="00154690"/>
    <w:rsid w:val="00155985"/>
    <w:rsid w:val="00161EAF"/>
    <w:rsid w:val="00161FD6"/>
    <w:rsid w:val="0016280D"/>
    <w:rsid w:val="00164580"/>
    <w:rsid w:val="00164920"/>
    <w:rsid w:val="00165AB4"/>
    <w:rsid w:val="001662D7"/>
    <w:rsid w:val="001665FB"/>
    <w:rsid w:val="001670E3"/>
    <w:rsid w:val="001674E6"/>
    <w:rsid w:val="00167E38"/>
    <w:rsid w:val="00170E30"/>
    <w:rsid w:val="00172A93"/>
    <w:rsid w:val="00173BC0"/>
    <w:rsid w:val="00173C54"/>
    <w:rsid w:val="00175273"/>
    <w:rsid w:val="0017551E"/>
    <w:rsid w:val="0017686E"/>
    <w:rsid w:val="00177A42"/>
    <w:rsid w:val="00177C29"/>
    <w:rsid w:val="00177FD7"/>
    <w:rsid w:val="00180E8A"/>
    <w:rsid w:val="0018193F"/>
    <w:rsid w:val="00182194"/>
    <w:rsid w:val="0018278B"/>
    <w:rsid w:val="001875FA"/>
    <w:rsid w:val="001879F9"/>
    <w:rsid w:val="00190D23"/>
    <w:rsid w:val="00191B70"/>
    <w:rsid w:val="00192B94"/>
    <w:rsid w:val="00192D14"/>
    <w:rsid w:val="0019313E"/>
    <w:rsid w:val="00194819"/>
    <w:rsid w:val="00195658"/>
    <w:rsid w:val="00196639"/>
    <w:rsid w:val="001A2685"/>
    <w:rsid w:val="001A2FB5"/>
    <w:rsid w:val="001A3214"/>
    <w:rsid w:val="001A5685"/>
    <w:rsid w:val="001A5D98"/>
    <w:rsid w:val="001A67E4"/>
    <w:rsid w:val="001B08B8"/>
    <w:rsid w:val="001B13FE"/>
    <w:rsid w:val="001B1FD2"/>
    <w:rsid w:val="001B1FF6"/>
    <w:rsid w:val="001B3704"/>
    <w:rsid w:val="001B48F3"/>
    <w:rsid w:val="001B5633"/>
    <w:rsid w:val="001B5961"/>
    <w:rsid w:val="001B5EEB"/>
    <w:rsid w:val="001B71E6"/>
    <w:rsid w:val="001B7320"/>
    <w:rsid w:val="001C0DC3"/>
    <w:rsid w:val="001C1D06"/>
    <w:rsid w:val="001C28A8"/>
    <w:rsid w:val="001C51BE"/>
    <w:rsid w:val="001C638C"/>
    <w:rsid w:val="001C6A34"/>
    <w:rsid w:val="001C6E4B"/>
    <w:rsid w:val="001C73AE"/>
    <w:rsid w:val="001D0217"/>
    <w:rsid w:val="001D0CEA"/>
    <w:rsid w:val="001D10D7"/>
    <w:rsid w:val="001D253B"/>
    <w:rsid w:val="001D2560"/>
    <w:rsid w:val="001D3074"/>
    <w:rsid w:val="001D5541"/>
    <w:rsid w:val="001D5F6B"/>
    <w:rsid w:val="001E0C6E"/>
    <w:rsid w:val="001E1262"/>
    <w:rsid w:val="001E1647"/>
    <w:rsid w:val="001E263D"/>
    <w:rsid w:val="001E7103"/>
    <w:rsid w:val="001E7426"/>
    <w:rsid w:val="001F04FD"/>
    <w:rsid w:val="001F07B3"/>
    <w:rsid w:val="001F0C9E"/>
    <w:rsid w:val="001F150E"/>
    <w:rsid w:val="001F21BF"/>
    <w:rsid w:val="001F2CB4"/>
    <w:rsid w:val="001F2E22"/>
    <w:rsid w:val="001F66D8"/>
    <w:rsid w:val="001F7F4E"/>
    <w:rsid w:val="00200BF4"/>
    <w:rsid w:val="00201414"/>
    <w:rsid w:val="00201420"/>
    <w:rsid w:val="0020251B"/>
    <w:rsid w:val="002026E3"/>
    <w:rsid w:val="00202E4A"/>
    <w:rsid w:val="00202FF8"/>
    <w:rsid w:val="00204A43"/>
    <w:rsid w:val="00206B23"/>
    <w:rsid w:val="00206F6E"/>
    <w:rsid w:val="002076B5"/>
    <w:rsid w:val="002106CE"/>
    <w:rsid w:val="002115A0"/>
    <w:rsid w:val="002118D6"/>
    <w:rsid w:val="00211B02"/>
    <w:rsid w:val="00211EDF"/>
    <w:rsid w:val="00212692"/>
    <w:rsid w:val="002139B1"/>
    <w:rsid w:val="00214385"/>
    <w:rsid w:val="00215094"/>
    <w:rsid w:val="002173E6"/>
    <w:rsid w:val="00217FC6"/>
    <w:rsid w:val="00220A4C"/>
    <w:rsid w:val="00221DFE"/>
    <w:rsid w:val="00222E0E"/>
    <w:rsid w:val="002241CC"/>
    <w:rsid w:val="002243DF"/>
    <w:rsid w:val="00225177"/>
    <w:rsid w:val="002252AB"/>
    <w:rsid w:val="00225837"/>
    <w:rsid w:val="002264CF"/>
    <w:rsid w:val="00226FF3"/>
    <w:rsid w:val="00227647"/>
    <w:rsid w:val="00230156"/>
    <w:rsid w:val="00230522"/>
    <w:rsid w:val="00232A04"/>
    <w:rsid w:val="00232BDE"/>
    <w:rsid w:val="002331FE"/>
    <w:rsid w:val="002334B4"/>
    <w:rsid w:val="0023422E"/>
    <w:rsid w:val="00234969"/>
    <w:rsid w:val="002358A6"/>
    <w:rsid w:val="0023591D"/>
    <w:rsid w:val="00236867"/>
    <w:rsid w:val="00236F6B"/>
    <w:rsid w:val="00240586"/>
    <w:rsid w:val="00241C79"/>
    <w:rsid w:val="00241F51"/>
    <w:rsid w:val="00242727"/>
    <w:rsid w:val="00243954"/>
    <w:rsid w:val="00244360"/>
    <w:rsid w:val="00245C53"/>
    <w:rsid w:val="00246696"/>
    <w:rsid w:val="002468DF"/>
    <w:rsid w:val="002473A6"/>
    <w:rsid w:val="00251DB1"/>
    <w:rsid w:val="00253B06"/>
    <w:rsid w:val="00254711"/>
    <w:rsid w:val="00256457"/>
    <w:rsid w:val="00256533"/>
    <w:rsid w:val="00256D13"/>
    <w:rsid w:val="002617F6"/>
    <w:rsid w:val="00261AEA"/>
    <w:rsid w:val="00262025"/>
    <w:rsid w:val="002625CE"/>
    <w:rsid w:val="0026340A"/>
    <w:rsid w:val="002634BF"/>
    <w:rsid w:val="002637E6"/>
    <w:rsid w:val="00265231"/>
    <w:rsid w:val="00265301"/>
    <w:rsid w:val="00265F92"/>
    <w:rsid w:val="002673B8"/>
    <w:rsid w:val="00273051"/>
    <w:rsid w:val="0027371A"/>
    <w:rsid w:val="002739EC"/>
    <w:rsid w:val="00274104"/>
    <w:rsid w:val="00274AED"/>
    <w:rsid w:val="00274FA0"/>
    <w:rsid w:val="002758EC"/>
    <w:rsid w:val="00281299"/>
    <w:rsid w:val="00281B44"/>
    <w:rsid w:val="002832F0"/>
    <w:rsid w:val="002833C4"/>
    <w:rsid w:val="00283838"/>
    <w:rsid w:val="00283A7C"/>
    <w:rsid w:val="002849F1"/>
    <w:rsid w:val="00284DD1"/>
    <w:rsid w:val="002857B6"/>
    <w:rsid w:val="00286988"/>
    <w:rsid w:val="00286DA4"/>
    <w:rsid w:val="00286DE0"/>
    <w:rsid w:val="00286FC2"/>
    <w:rsid w:val="00291746"/>
    <w:rsid w:val="00291D59"/>
    <w:rsid w:val="002921BB"/>
    <w:rsid w:val="00292D76"/>
    <w:rsid w:val="002939C2"/>
    <w:rsid w:val="00294770"/>
    <w:rsid w:val="00295468"/>
    <w:rsid w:val="00295CA4"/>
    <w:rsid w:val="00295F9D"/>
    <w:rsid w:val="00296380"/>
    <w:rsid w:val="00296F95"/>
    <w:rsid w:val="002A04E6"/>
    <w:rsid w:val="002A076E"/>
    <w:rsid w:val="002A16E7"/>
    <w:rsid w:val="002A4246"/>
    <w:rsid w:val="002A4876"/>
    <w:rsid w:val="002A7D76"/>
    <w:rsid w:val="002B2B24"/>
    <w:rsid w:val="002B2D2B"/>
    <w:rsid w:val="002B4CA6"/>
    <w:rsid w:val="002B4D52"/>
    <w:rsid w:val="002B67C9"/>
    <w:rsid w:val="002B73AF"/>
    <w:rsid w:val="002B79B8"/>
    <w:rsid w:val="002C0E41"/>
    <w:rsid w:val="002C545B"/>
    <w:rsid w:val="002C5D99"/>
    <w:rsid w:val="002C7238"/>
    <w:rsid w:val="002C7436"/>
    <w:rsid w:val="002D1865"/>
    <w:rsid w:val="002D1E8C"/>
    <w:rsid w:val="002D25BC"/>
    <w:rsid w:val="002D330D"/>
    <w:rsid w:val="002D3619"/>
    <w:rsid w:val="002D3DDF"/>
    <w:rsid w:val="002D5B95"/>
    <w:rsid w:val="002D5BF0"/>
    <w:rsid w:val="002D67D6"/>
    <w:rsid w:val="002D6E41"/>
    <w:rsid w:val="002D7CF4"/>
    <w:rsid w:val="002D7E42"/>
    <w:rsid w:val="002E0F9C"/>
    <w:rsid w:val="002E11A5"/>
    <w:rsid w:val="002E271D"/>
    <w:rsid w:val="002E4CC2"/>
    <w:rsid w:val="002E53F0"/>
    <w:rsid w:val="002E7EE9"/>
    <w:rsid w:val="002F0D27"/>
    <w:rsid w:val="002F31FA"/>
    <w:rsid w:val="002F47E2"/>
    <w:rsid w:val="002F4C87"/>
    <w:rsid w:val="002F4D4A"/>
    <w:rsid w:val="002F532C"/>
    <w:rsid w:val="002F62FA"/>
    <w:rsid w:val="002F6CA2"/>
    <w:rsid w:val="00301123"/>
    <w:rsid w:val="003031A5"/>
    <w:rsid w:val="00304913"/>
    <w:rsid w:val="00307FD9"/>
    <w:rsid w:val="003102EA"/>
    <w:rsid w:val="003113AA"/>
    <w:rsid w:val="003119ED"/>
    <w:rsid w:val="00311BDE"/>
    <w:rsid w:val="00312589"/>
    <w:rsid w:val="003126B3"/>
    <w:rsid w:val="0031406E"/>
    <w:rsid w:val="00315F72"/>
    <w:rsid w:val="00316E03"/>
    <w:rsid w:val="00317B50"/>
    <w:rsid w:val="00317D84"/>
    <w:rsid w:val="003203BF"/>
    <w:rsid w:val="003215DB"/>
    <w:rsid w:val="00321E0D"/>
    <w:rsid w:val="00323068"/>
    <w:rsid w:val="0032362A"/>
    <w:rsid w:val="00323BBD"/>
    <w:rsid w:val="00323C37"/>
    <w:rsid w:val="003243C5"/>
    <w:rsid w:val="00324A8E"/>
    <w:rsid w:val="00324C44"/>
    <w:rsid w:val="003257B9"/>
    <w:rsid w:val="00325EC7"/>
    <w:rsid w:val="00326221"/>
    <w:rsid w:val="003266BB"/>
    <w:rsid w:val="003268C9"/>
    <w:rsid w:val="00326DE7"/>
    <w:rsid w:val="00326F71"/>
    <w:rsid w:val="00330CA9"/>
    <w:rsid w:val="00331252"/>
    <w:rsid w:val="003314C4"/>
    <w:rsid w:val="0033228F"/>
    <w:rsid w:val="00332945"/>
    <w:rsid w:val="00333FF5"/>
    <w:rsid w:val="00334B05"/>
    <w:rsid w:val="00337962"/>
    <w:rsid w:val="003417AD"/>
    <w:rsid w:val="00341AC2"/>
    <w:rsid w:val="00341FDA"/>
    <w:rsid w:val="003422F8"/>
    <w:rsid w:val="003432CC"/>
    <w:rsid w:val="003438F6"/>
    <w:rsid w:val="00343EA1"/>
    <w:rsid w:val="00344800"/>
    <w:rsid w:val="00345892"/>
    <w:rsid w:val="00345DFF"/>
    <w:rsid w:val="003503C0"/>
    <w:rsid w:val="0035042A"/>
    <w:rsid w:val="00350C62"/>
    <w:rsid w:val="0035105E"/>
    <w:rsid w:val="00352CA4"/>
    <w:rsid w:val="003549FA"/>
    <w:rsid w:val="00355356"/>
    <w:rsid w:val="00356173"/>
    <w:rsid w:val="00356A4A"/>
    <w:rsid w:val="003571AD"/>
    <w:rsid w:val="00357287"/>
    <w:rsid w:val="003575D1"/>
    <w:rsid w:val="00360BAC"/>
    <w:rsid w:val="00363B26"/>
    <w:rsid w:val="00363ECC"/>
    <w:rsid w:val="003644A4"/>
    <w:rsid w:val="003648BE"/>
    <w:rsid w:val="003651A8"/>
    <w:rsid w:val="00367435"/>
    <w:rsid w:val="00371E32"/>
    <w:rsid w:val="00372DDB"/>
    <w:rsid w:val="00372F3F"/>
    <w:rsid w:val="00373C1A"/>
    <w:rsid w:val="00373F94"/>
    <w:rsid w:val="003746D4"/>
    <w:rsid w:val="00376248"/>
    <w:rsid w:val="003771D6"/>
    <w:rsid w:val="00377A91"/>
    <w:rsid w:val="00380364"/>
    <w:rsid w:val="003805DD"/>
    <w:rsid w:val="00380954"/>
    <w:rsid w:val="00380DF8"/>
    <w:rsid w:val="00383203"/>
    <w:rsid w:val="00383886"/>
    <w:rsid w:val="0038459F"/>
    <w:rsid w:val="00385076"/>
    <w:rsid w:val="00390CCE"/>
    <w:rsid w:val="00391B9F"/>
    <w:rsid w:val="00392B9E"/>
    <w:rsid w:val="00394F8F"/>
    <w:rsid w:val="003953A9"/>
    <w:rsid w:val="00395590"/>
    <w:rsid w:val="00396C6F"/>
    <w:rsid w:val="003A069B"/>
    <w:rsid w:val="003A2955"/>
    <w:rsid w:val="003A33E5"/>
    <w:rsid w:val="003A4242"/>
    <w:rsid w:val="003A4B79"/>
    <w:rsid w:val="003A53E9"/>
    <w:rsid w:val="003A5493"/>
    <w:rsid w:val="003A6B17"/>
    <w:rsid w:val="003A7315"/>
    <w:rsid w:val="003A765A"/>
    <w:rsid w:val="003A7D23"/>
    <w:rsid w:val="003B0C74"/>
    <w:rsid w:val="003B0ECC"/>
    <w:rsid w:val="003B115A"/>
    <w:rsid w:val="003B3853"/>
    <w:rsid w:val="003B4DFF"/>
    <w:rsid w:val="003B7C6B"/>
    <w:rsid w:val="003C077E"/>
    <w:rsid w:val="003C18C7"/>
    <w:rsid w:val="003C231E"/>
    <w:rsid w:val="003C3ED5"/>
    <w:rsid w:val="003C4B46"/>
    <w:rsid w:val="003D0018"/>
    <w:rsid w:val="003D0F8B"/>
    <w:rsid w:val="003D1EB7"/>
    <w:rsid w:val="003D232F"/>
    <w:rsid w:val="003D2F66"/>
    <w:rsid w:val="003D356A"/>
    <w:rsid w:val="003D4CE4"/>
    <w:rsid w:val="003D7830"/>
    <w:rsid w:val="003D7C34"/>
    <w:rsid w:val="003D7F1F"/>
    <w:rsid w:val="003E0B0A"/>
    <w:rsid w:val="003E0EEF"/>
    <w:rsid w:val="003E2392"/>
    <w:rsid w:val="003E2789"/>
    <w:rsid w:val="003E2CDF"/>
    <w:rsid w:val="003E2F58"/>
    <w:rsid w:val="003E2FA5"/>
    <w:rsid w:val="003E3061"/>
    <w:rsid w:val="003E4006"/>
    <w:rsid w:val="003E48BB"/>
    <w:rsid w:val="003E5918"/>
    <w:rsid w:val="003E5A16"/>
    <w:rsid w:val="003E5B55"/>
    <w:rsid w:val="003E656A"/>
    <w:rsid w:val="003E6888"/>
    <w:rsid w:val="003E695E"/>
    <w:rsid w:val="003E6C77"/>
    <w:rsid w:val="003E7D90"/>
    <w:rsid w:val="003F14A9"/>
    <w:rsid w:val="003F2090"/>
    <w:rsid w:val="003F233B"/>
    <w:rsid w:val="003F2941"/>
    <w:rsid w:val="003F3134"/>
    <w:rsid w:val="003F352E"/>
    <w:rsid w:val="003F4820"/>
    <w:rsid w:val="003F5D51"/>
    <w:rsid w:val="003F7761"/>
    <w:rsid w:val="00400D9B"/>
    <w:rsid w:val="00401398"/>
    <w:rsid w:val="004037D7"/>
    <w:rsid w:val="00403965"/>
    <w:rsid w:val="00404543"/>
    <w:rsid w:val="00405713"/>
    <w:rsid w:val="00406025"/>
    <w:rsid w:val="00406761"/>
    <w:rsid w:val="00411121"/>
    <w:rsid w:val="00413346"/>
    <w:rsid w:val="00413883"/>
    <w:rsid w:val="00414254"/>
    <w:rsid w:val="00414353"/>
    <w:rsid w:val="00414975"/>
    <w:rsid w:val="004160ED"/>
    <w:rsid w:val="00416D35"/>
    <w:rsid w:val="00416EFA"/>
    <w:rsid w:val="0042013F"/>
    <w:rsid w:val="0042086E"/>
    <w:rsid w:val="004209C6"/>
    <w:rsid w:val="00420E20"/>
    <w:rsid w:val="004212A0"/>
    <w:rsid w:val="004214A4"/>
    <w:rsid w:val="004229C4"/>
    <w:rsid w:val="00422B98"/>
    <w:rsid w:val="0042314D"/>
    <w:rsid w:val="00423B85"/>
    <w:rsid w:val="004245F1"/>
    <w:rsid w:val="00425650"/>
    <w:rsid w:val="00425B63"/>
    <w:rsid w:val="00427058"/>
    <w:rsid w:val="0042745D"/>
    <w:rsid w:val="00427575"/>
    <w:rsid w:val="0043123C"/>
    <w:rsid w:val="00431E4C"/>
    <w:rsid w:val="00431F13"/>
    <w:rsid w:val="00433C6A"/>
    <w:rsid w:val="00434F25"/>
    <w:rsid w:val="0043525E"/>
    <w:rsid w:val="004352A5"/>
    <w:rsid w:val="0043667A"/>
    <w:rsid w:val="004401D4"/>
    <w:rsid w:val="00440427"/>
    <w:rsid w:val="00441184"/>
    <w:rsid w:val="00441C5A"/>
    <w:rsid w:val="00441E9E"/>
    <w:rsid w:val="004429B2"/>
    <w:rsid w:val="00444690"/>
    <w:rsid w:val="00445F88"/>
    <w:rsid w:val="00446C7D"/>
    <w:rsid w:val="00446E40"/>
    <w:rsid w:val="00447C85"/>
    <w:rsid w:val="004518CF"/>
    <w:rsid w:val="004518DB"/>
    <w:rsid w:val="00453043"/>
    <w:rsid w:val="0045331D"/>
    <w:rsid w:val="00454136"/>
    <w:rsid w:val="0045661A"/>
    <w:rsid w:val="00456FE0"/>
    <w:rsid w:val="00457325"/>
    <w:rsid w:val="00460D91"/>
    <w:rsid w:val="00462241"/>
    <w:rsid w:val="004630C2"/>
    <w:rsid w:val="0046492A"/>
    <w:rsid w:val="00466FFF"/>
    <w:rsid w:val="00467D1E"/>
    <w:rsid w:val="004701D7"/>
    <w:rsid w:val="00472D59"/>
    <w:rsid w:val="004748BE"/>
    <w:rsid w:val="00475380"/>
    <w:rsid w:val="00475E09"/>
    <w:rsid w:val="00476942"/>
    <w:rsid w:val="00476A14"/>
    <w:rsid w:val="00476DFF"/>
    <w:rsid w:val="004778D3"/>
    <w:rsid w:val="00482453"/>
    <w:rsid w:val="00482878"/>
    <w:rsid w:val="00483ADE"/>
    <w:rsid w:val="00484D47"/>
    <w:rsid w:val="00485DEF"/>
    <w:rsid w:val="004861B1"/>
    <w:rsid w:val="0048683A"/>
    <w:rsid w:val="00486993"/>
    <w:rsid w:val="00486A16"/>
    <w:rsid w:val="00490879"/>
    <w:rsid w:val="004908E2"/>
    <w:rsid w:val="00490EA1"/>
    <w:rsid w:val="00491816"/>
    <w:rsid w:val="00492761"/>
    <w:rsid w:val="00493280"/>
    <w:rsid w:val="0049387F"/>
    <w:rsid w:val="00493B7D"/>
    <w:rsid w:val="00493B94"/>
    <w:rsid w:val="0049421D"/>
    <w:rsid w:val="0049610C"/>
    <w:rsid w:val="004A155C"/>
    <w:rsid w:val="004A2925"/>
    <w:rsid w:val="004A3BFD"/>
    <w:rsid w:val="004A3F9A"/>
    <w:rsid w:val="004A6D24"/>
    <w:rsid w:val="004A6DC5"/>
    <w:rsid w:val="004A6E94"/>
    <w:rsid w:val="004A7955"/>
    <w:rsid w:val="004B0583"/>
    <w:rsid w:val="004B122E"/>
    <w:rsid w:val="004B15F6"/>
    <w:rsid w:val="004B1F42"/>
    <w:rsid w:val="004B2DB7"/>
    <w:rsid w:val="004B3D1B"/>
    <w:rsid w:val="004B4DFE"/>
    <w:rsid w:val="004B6600"/>
    <w:rsid w:val="004B70A5"/>
    <w:rsid w:val="004B7CB4"/>
    <w:rsid w:val="004C16A5"/>
    <w:rsid w:val="004C18CF"/>
    <w:rsid w:val="004C1C62"/>
    <w:rsid w:val="004C2CDE"/>
    <w:rsid w:val="004C3117"/>
    <w:rsid w:val="004C418F"/>
    <w:rsid w:val="004C4455"/>
    <w:rsid w:val="004C5289"/>
    <w:rsid w:val="004C6EBD"/>
    <w:rsid w:val="004D03B0"/>
    <w:rsid w:val="004D0D60"/>
    <w:rsid w:val="004D21FF"/>
    <w:rsid w:val="004D3160"/>
    <w:rsid w:val="004D3C7D"/>
    <w:rsid w:val="004D3D08"/>
    <w:rsid w:val="004D45AE"/>
    <w:rsid w:val="004D4EAE"/>
    <w:rsid w:val="004D64EC"/>
    <w:rsid w:val="004D6B7F"/>
    <w:rsid w:val="004D6F97"/>
    <w:rsid w:val="004E09A7"/>
    <w:rsid w:val="004E0BF2"/>
    <w:rsid w:val="004E15B2"/>
    <w:rsid w:val="004E1FE7"/>
    <w:rsid w:val="004E2E4A"/>
    <w:rsid w:val="004E30DB"/>
    <w:rsid w:val="004E4A7A"/>
    <w:rsid w:val="004E4AF5"/>
    <w:rsid w:val="004E4B26"/>
    <w:rsid w:val="004E4C3E"/>
    <w:rsid w:val="004E606C"/>
    <w:rsid w:val="004E66BF"/>
    <w:rsid w:val="004E69D8"/>
    <w:rsid w:val="004E6D2A"/>
    <w:rsid w:val="004E6F80"/>
    <w:rsid w:val="004E79F1"/>
    <w:rsid w:val="004F0BA2"/>
    <w:rsid w:val="004F1590"/>
    <w:rsid w:val="004F40CC"/>
    <w:rsid w:val="004F6295"/>
    <w:rsid w:val="004F7BF0"/>
    <w:rsid w:val="0050001F"/>
    <w:rsid w:val="00500E58"/>
    <w:rsid w:val="00501758"/>
    <w:rsid w:val="00501800"/>
    <w:rsid w:val="00504495"/>
    <w:rsid w:val="005044A9"/>
    <w:rsid w:val="005061AE"/>
    <w:rsid w:val="005069A9"/>
    <w:rsid w:val="00510992"/>
    <w:rsid w:val="00514BC8"/>
    <w:rsid w:val="00514F1A"/>
    <w:rsid w:val="00515391"/>
    <w:rsid w:val="00517656"/>
    <w:rsid w:val="005202DB"/>
    <w:rsid w:val="00522742"/>
    <w:rsid w:val="00522C14"/>
    <w:rsid w:val="0052327D"/>
    <w:rsid w:val="00523B38"/>
    <w:rsid w:val="00525A55"/>
    <w:rsid w:val="00525B01"/>
    <w:rsid w:val="00526560"/>
    <w:rsid w:val="00531378"/>
    <w:rsid w:val="00531FA0"/>
    <w:rsid w:val="005320C1"/>
    <w:rsid w:val="00532139"/>
    <w:rsid w:val="0053273C"/>
    <w:rsid w:val="00533DFA"/>
    <w:rsid w:val="00536160"/>
    <w:rsid w:val="00536CF2"/>
    <w:rsid w:val="005371A3"/>
    <w:rsid w:val="00537328"/>
    <w:rsid w:val="00537ADE"/>
    <w:rsid w:val="00537B2F"/>
    <w:rsid w:val="00542AC3"/>
    <w:rsid w:val="00543634"/>
    <w:rsid w:val="0054380D"/>
    <w:rsid w:val="005438B3"/>
    <w:rsid w:val="005439E1"/>
    <w:rsid w:val="0054414B"/>
    <w:rsid w:val="00544832"/>
    <w:rsid w:val="00545AA5"/>
    <w:rsid w:val="0054734E"/>
    <w:rsid w:val="0054782B"/>
    <w:rsid w:val="00547E6E"/>
    <w:rsid w:val="005505F9"/>
    <w:rsid w:val="0055116F"/>
    <w:rsid w:val="00553123"/>
    <w:rsid w:val="0055428C"/>
    <w:rsid w:val="0055657B"/>
    <w:rsid w:val="00556FFB"/>
    <w:rsid w:val="00561705"/>
    <w:rsid w:val="00562957"/>
    <w:rsid w:val="00562B19"/>
    <w:rsid w:val="00562EED"/>
    <w:rsid w:val="005635CC"/>
    <w:rsid w:val="005647C0"/>
    <w:rsid w:val="00564A31"/>
    <w:rsid w:val="00566959"/>
    <w:rsid w:val="00570DC7"/>
    <w:rsid w:val="00570E80"/>
    <w:rsid w:val="005711F9"/>
    <w:rsid w:val="005727B1"/>
    <w:rsid w:val="0057298E"/>
    <w:rsid w:val="00572D8C"/>
    <w:rsid w:val="005732FB"/>
    <w:rsid w:val="00573629"/>
    <w:rsid w:val="005740DD"/>
    <w:rsid w:val="005747C2"/>
    <w:rsid w:val="0057530D"/>
    <w:rsid w:val="00575B08"/>
    <w:rsid w:val="00580F40"/>
    <w:rsid w:val="00581F68"/>
    <w:rsid w:val="005838C5"/>
    <w:rsid w:val="00584370"/>
    <w:rsid w:val="00584EB9"/>
    <w:rsid w:val="005852F3"/>
    <w:rsid w:val="005863B2"/>
    <w:rsid w:val="00587CE3"/>
    <w:rsid w:val="00591CE5"/>
    <w:rsid w:val="005920D9"/>
    <w:rsid w:val="0059217F"/>
    <w:rsid w:val="005934AE"/>
    <w:rsid w:val="005939DB"/>
    <w:rsid w:val="005944F6"/>
    <w:rsid w:val="00594BBC"/>
    <w:rsid w:val="00596143"/>
    <w:rsid w:val="005968E1"/>
    <w:rsid w:val="005972B5"/>
    <w:rsid w:val="005973FC"/>
    <w:rsid w:val="00597608"/>
    <w:rsid w:val="00597DA2"/>
    <w:rsid w:val="005A01CB"/>
    <w:rsid w:val="005A09CA"/>
    <w:rsid w:val="005A0E75"/>
    <w:rsid w:val="005A1611"/>
    <w:rsid w:val="005A2405"/>
    <w:rsid w:val="005A4DC0"/>
    <w:rsid w:val="005A5428"/>
    <w:rsid w:val="005A55B3"/>
    <w:rsid w:val="005A572D"/>
    <w:rsid w:val="005A58EB"/>
    <w:rsid w:val="005A5C05"/>
    <w:rsid w:val="005A5C8D"/>
    <w:rsid w:val="005A608A"/>
    <w:rsid w:val="005A6733"/>
    <w:rsid w:val="005A6E2A"/>
    <w:rsid w:val="005A7AEC"/>
    <w:rsid w:val="005B0346"/>
    <w:rsid w:val="005B065F"/>
    <w:rsid w:val="005B23CA"/>
    <w:rsid w:val="005B2862"/>
    <w:rsid w:val="005B3256"/>
    <w:rsid w:val="005B3636"/>
    <w:rsid w:val="005B3C4F"/>
    <w:rsid w:val="005B3D30"/>
    <w:rsid w:val="005B633B"/>
    <w:rsid w:val="005B6386"/>
    <w:rsid w:val="005B6707"/>
    <w:rsid w:val="005B7449"/>
    <w:rsid w:val="005C0A02"/>
    <w:rsid w:val="005C0F65"/>
    <w:rsid w:val="005C1701"/>
    <w:rsid w:val="005C1847"/>
    <w:rsid w:val="005C2606"/>
    <w:rsid w:val="005C4E9D"/>
    <w:rsid w:val="005C6863"/>
    <w:rsid w:val="005D0483"/>
    <w:rsid w:val="005D055F"/>
    <w:rsid w:val="005D2C54"/>
    <w:rsid w:val="005D2FB5"/>
    <w:rsid w:val="005D3477"/>
    <w:rsid w:val="005D396A"/>
    <w:rsid w:val="005D48F9"/>
    <w:rsid w:val="005D4CB3"/>
    <w:rsid w:val="005D5AA3"/>
    <w:rsid w:val="005D630E"/>
    <w:rsid w:val="005D7C65"/>
    <w:rsid w:val="005E144B"/>
    <w:rsid w:val="005E3647"/>
    <w:rsid w:val="005E3C2F"/>
    <w:rsid w:val="005E484D"/>
    <w:rsid w:val="005E49FB"/>
    <w:rsid w:val="005E7900"/>
    <w:rsid w:val="005F03E0"/>
    <w:rsid w:val="005F14AB"/>
    <w:rsid w:val="005F18B8"/>
    <w:rsid w:val="005F2128"/>
    <w:rsid w:val="005F32C9"/>
    <w:rsid w:val="005F4FE7"/>
    <w:rsid w:val="006005F6"/>
    <w:rsid w:val="00601911"/>
    <w:rsid w:val="00601BD3"/>
    <w:rsid w:val="00601EB3"/>
    <w:rsid w:val="00602357"/>
    <w:rsid w:val="0060393D"/>
    <w:rsid w:val="00603DC9"/>
    <w:rsid w:val="00604445"/>
    <w:rsid w:val="00605786"/>
    <w:rsid w:val="00605947"/>
    <w:rsid w:val="00610D9C"/>
    <w:rsid w:val="006125B9"/>
    <w:rsid w:val="00613126"/>
    <w:rsid w:val="006135F6"/>
    <w:rsid w:val="00613C6A"/>
    <w:rsid w:val="0061411C"/>
    <w:rsid w:val="0061492A"/>
    <w:rsid w:val="00615066"/>
    <w:rsid w:val="00616213"/>
    <w:rsid w:val="00616A01"/>
    <w:rsid w:val="00617125"/>
    <w:rsid w:val="006179BF"/>
    <w:rsid w:val="00617EA4"/>
    <w:rsid w:val="00620C32"/>
    <w:rsid w:val="00620FD2"/>
    <w:rsid w:val="00621641"/>
    <w:rsid w:val="0062210E"/>
    <w:rsid w:val="00623CEA"/>
    <w:rsid w:val="00624612"/>
    <w:rsid w:val="00624DBF"/>
    <w:rsid w:val="006265A7"/>
    <w:rsid w:val="006308D8"/>
    <w:rsid w:val="006314FB"/>
    <w:rsid w:val="00631B8C"/>
    <w:rsid w:val="00631BF2"/>
    <w:rsid w:val="00632FB3"/>
    <w:rsid w:val="00632FEF"/>
    <w:rsid w:val="006337AF"/>
    <w:rsid w:val="00634083"/>
    <w:rsid w:val="00634866"/>
    <w:rsid w:val="00634B09"/>
    <w:rsid w:val="00634F19"/>
    <w:rsid w:val="00635DEC"/>
    <w:rsid w:val="006365AE"/>
    <w:rsid w:val="00636C9D"/>
    <w:rsid w:val="006372B8"/>
    <w:rsid w:val="00640A29"/>
    <w:rsid w:val="00640DBD"/>
    <w:rsid w:val="006439AA"/>
    <w:rsid w:val="006451F0"/>
    <w:rsid w:val="006455AF"/>
    <w:rsid w:val="00645AC3"/>
    <w:rsid w:val="00645E53"/>
    <w:rsid w:val="00646317"/>
    <w:rsid w:val="00646831"/>
    <w:rsid w:val="00646899"/>
    <w:rsid w:val="00646BD4"/>
    <w:rsid w:val="00646C0E"/>
    <w:rsid w:val="00647179"/>
    <w:rsid w:val="006474C4"/>
    <w:rsid w:val="00647FA2"/>
    <w:rsid w:val="0065256F"/>
    <w:rsid w:val="00653CC7"/>
    <w:rsid w:val="00654841"/>
    <w:rsid w:val="00654A51"/>
    <w:rsid w:val="00654AD8"/>
    <w:rsid w:val="00654B70"/>
    <w:rsid w:val="006563D2"/>
    <w:rsid w:val="0066008E"/>
    <w:rsid w:val="006602A2"/>
    <w:rsid w:val="006627C9"/>
    <w:rsid w:val="0066375D"/>
    <w:rsid w:val="006651D1"/>
    <w:rsid w:val="00665425"/>
    <w:rsid w:val="006659E2"/>
    <w:rsid w:val="00665FAC"/>
    <w:rsid w:val="00670032"/>
    <w:rsid w:val="00670067"/>
    <w:rsid w:val="00671C73"/>
    <w:rsid w:val="00672A11"/>
    <w:rsid w:val="006730AD"/>
    <w:rsid w:val="00674050"/>
    <w:rsid w:val="006750D5"/>
    <w:rsid w:val="006766FE"/>
    <w:rsid w:val="0068086F"/>
    <w:rsid w:val="006816A3"/>
    <w:rsid w:val="00682385"/>
    <w:rsid w:val="006828F4"/>
    <w:rsid w:val="006837CA"/>
    <w:rsid w:val="006871B6"/>
    <w:rsid w:val="0069154F"/>
    <w:rsid w:val="00692EED"/>
    <w:rsid w:val="006959FC"/>
    <w:rsid w:val="0069623F"/>
    <w:rsid w:val="00696478"/>
    <w:rsid w:val="00697DD5"/>
    <w:rsid w:val="006A0112"/>
    <w:rsid w:val="006A0BED"/>
    <w:rsid w:val="006A0BF7"/>
    <w:rsid w:val="006A104E"/>
    <w:rsid w:val="006A1306"/>
    <w:rsid w:val="006A1522"/>
    <w:rsid w:val="006A286B"/>
    <w:rsid w:val="006A3A6A"/>
    <w:rsid w:val="006A3FD2"/>
    <w:rsid w:val="006A4022"/>
    <w:rsid w:val="006A506A"/>
    <w:rsid w:val="006A768A"/>
    <w:rsid w:val="006A7ED3"/>
    <w:rsid w:val="006B0A73"/>
    <w:rsid w:val="006B11DE"/>
    <w:rsid w:val="006B1259"/>
    <w:rsid w:val="006B2ADC"/>
    <w:rsid w:val="006B3674"/>
    <w:rsid w:val="006B4DC7"/>
    <w:rsid w:val="006B71AF"/>
    <w:rsid w:val="006B7C8F"/>
    <w:rsid w:val="006C287A"/>
    <w:rsid w:val="006C412A"/>
    <w:rsid w:val="006C41F4"/>
    <w:rsid w:val="006C636D"/>
    <w:rsid w:val="006C6629"/>
    <w:rsid w:val="006C7D05"/>
    <w:rsid w:val="006D03C7"/>
    <w:rsid w:val="006D0493"/>
    <w:rsid w:val="006D1042"/>
    <w:rsid w:val="006D1C05"/>
    <w:rsid w:val="006D28D5"/>
    <w:rsid w:val="006D4500"/>
    <w:rsid w:val="006D539E"/>
    <w:rsid w:val="006D6B79"/>
    <w:rsid w:val="006E0A47"/>
    <w:rsid w:val="006E1A4F"/>
    <w:rsid w:val="006E4423"/>
    <w:rsid w:val="006E56BB"/>
    <w:rsid w:val="006E6F3E"/>
    <w:rsid w:val="006E7263"/>
    <w:rsid w:val="006E7688"/>
    <w:rsid w:val="006E7ABE"/>
    <w:rsid w:val="006F0772"/>
    <w:rsid w:val="006F42E0"/>
    <w:rsid w:val="006F4B28"/>
    <w:rsid w:val="006F599C"/>
    <w:rsid w:val="00700D16"/>
    <w:rsid w:val="00700DAB"/>
    <w:rsid w:val="0070176B"/>
    <w:rsid w:val="00701C02"/>
    <w:rsid w:val="00701CFC"/>
    <w:rsid w:val="00702453"/>
    <w:rsid w:val="007025E6"/>
    <w:rsid w:val="007026A8"/>
    <w:rsid w:val="00702C5E"/>
    <w:rsid w:val="00702DA2"/>
    <w:rsid w:val="00703497"/>
    <w:rsid w:val="00703705"/>
    <w:rsid w:val="007041DC"/>
    <w:rsid w:val="007050A5"/>
    <w:rsid w:val="007051BF"/>
    <w:rsid w:val="007056CC"/>
    <w:rsid w:val="0070679C"/>
    <w:rsid w:val="00707451"/>
    <w:rsid w:val="0071099C"/>
    <w:rsid w:val="00710E5E"/>
    <w:rsid w:val="0071184B"/>
    <w:rsid w:val="0071190B"/>
    <w:rsid w:val="007165D8"/>
    <w:rsid w:val="007206D9"/>
    <w:rsid w:val="007216A5"/>
    <w:rsid w:val="00721D66"/>
    <w:rsid w:val="0072452F"/>
    <w:rsid w:val="007251EE"/>
    <w:rsid w:val="0072669B"/>
    <w:rsid w:val="0072769E"/>
    <w:rsid w:val="00730A4B"/>
    <w:rsid w:val="00730E76"/>
    <w:rsid w:val="007328EA"/>
    <w:rsid w:val="007329A3"/>
    <w:rsid w:val="0073636D"/>
    <w:rsid w:val="007427AD"/>
    <w:rsid w:val="007432B3"/>
    <w:rsid w:val="00743D62"/>
    <w:rsid w:val="007465AA"/>
    <w:rsid w:val="00750595"/>
    <w:rsid w:val="007507BB"/>
    <w:rsid w:val="00750A48"/>
    <w:rsid w:val="007526D8"/>
    <w:rsid w:val="00752FA3"/>
    <w:rsid w:val="00753A3C"/>
    <w:rsid w:val="00756E55"/>
    <w:rsid w:val="007572C6"/>
    <w:rsid w:val="00757A0E"/>
    <w:rsid w:val="00757C98"/>
    <w:rsid w:val="00761A3C"/>
    <w:rsid w:val="00761A9E"/>
    <w:rsid w:val="007624B9"/>
    <w:rsid w:val="00762583"/>
    <w:rsid w:val="007632B6"/>
    <w:rsid w:val="00764071"/>
    <w:rsid w:val="00764317"/>
    <w:rsid w:val="00767BFE"/>
    <w:rsid w:val="00767D81"/>
    <w:rsid w:val="007716BD"/>
    <w:rsid w:val="007726FF"/>
    <w:rsid w:val="0077291F"/>
    <w:rsid w:val="0077372B"/>
    <w:rsid w:val="00773F87"/>
    <w:rsid w:val="00774183"/>
    <w:rsid w:val="00775759"/>
    <w:rsid w:val="00781055"/>
    <w:rsid w:val="007824C0"/>
    <w:rsid w:val="00782692"/>
    <w:rsid w:val="007832FE"/>
    <w:rsid w:val="00783BA1"/>
    <w:rsid w:val="00783CEF"/>
    <w:rsid w:val="00783D49"/>
    <w:rsid w:val="00784A23"/>
    <w:rsid w:val="007856C4"/>
    <w:rsid w:val="00786354"/>
    <w:rsid w:val="007874A9"/>
    <w:rsid w:val="0079131D"/>
    <w:rsid w:val="0079187A"/>
    <w:rsid w:val="007928A9"/>
    <w:rsid w:val="00792D18"/>
    <w:rsid w:val="00794525"/>
    <w:rsid w:val="00794AB7"/>
    <w:rsid w:val="00795C6E"/>
    <w:rsid w:val="00795E51"/>
    <w:rsid w:val="00796FEF"/>
    <w:rsid w:val="00797103"/>
    <w:rsid w:val="007A211B"/>
    <w:rsid w:val="007A34B7"/>
    <w:rsid w:val="007A4B35"/>
    <w:rsid w:val="007A5E2B"/>
    <w:rsid w:val="007A6D3C"/>
    <w:rsid w:val="007A7C1C"/>
    <w:rsid w:val="007A7DAC"/>
    <w:rsid w:val="007B0BE3"/>
    <w:rsid w:val="007B11D9"/>
    <w:rsid w:val="007B14CD"/>
    <w:rsid w:val="007B287F"/>
    <w:rsid w:val="007B29E7"/>
    <w:rsid w:val="007B3E71"/>
    <w:rsid w:val="007B44AE"/>
    <w:rsid w:val="007B5EC3"/>
    <w:rsid w:val="007B63B9"/>
    <w:rsid w:val="007B68BC"/>
    <w:rsid w:val="007C0AFE"/>
    <w:rsid w:val="007C10B6"/>
    <w:rsid w:val="007C36C7"/>
    <w:rsid w:val="007C3AE3"/>
    <w:rsid w:val="007C4512"/>
    <w:rsid w:val="007C5743"/>
    <w:rsid w:val="007C58D9"/>
    <w:rsid w:val="007C5A8D"/>
    <w:rsid w:val="007C5BDE"/>
    <w:rsid w:val="007C6C68"/>
    <w:rsid w:val="007D183A"/>
    <w:rsid w:val="007D2281"/>
    <w:rsid w:val="007D3967"/>
    <w:rsid w:val="007D41EF"/>
    <w:rsid w:val="007D49B2"/>
    <w:rsid w:val="007D6637"/>
    <w:rsid w:val="007E0DDE"/>
    <w:rsid w:val="007E265D"/>
    <w:rsid w:val="007E30DA"/>
    <w:rsid w:val="007E56BD"/>
    <w:rsid w:val="007E59B6"/>
    <w:rsid w:val="007E5F05"/>
    <w:rsid w:val="007E7134"/>
    <w:rsid w:val="007E7583"/>
    <w:rsid w:val="007E7F1B"/>
    <w:rsid w:val="007F1BA8"/>
    <w:rsid w:val="007F1F8F"/>
    <w:rsid w:val="007F254A"/>
    <w:rsid w:val="007F30C3"/>
    <w:rsid w:val="007F497C"/>
    <w:rsid w:val="007F5DD6"/>
    <w:rsid w:val="0080108F"/>
    <w:rsid w:val="0080166C"/>
    <w:rsid w:val="00801E4D"/>
    <w:rsid w:val="00802DA5"/>
    <w:rsid w:val="00803EFB"/>
    <w:rsid w:val="00804A37"/>
    <w:rsid w:val="00804C8F"/>
    <w:rsid w:val="00806082"/>
    <w:rsid w:val="00806C80"/>
    <w:rsid w:val="00810499"/>
    <w:rsid w:val="00811179"/>
    <w:rsid w:val="00812F2D"/>
    <w:rsid w:val="008138F1"/>
    <w:rsid w:val="00814CA9"/>
    <w:rsid w:val="0081506A"/>
    <w:rsid w:val="008150A5"/>
    <w:rsid w:val="00815E3E"/>
    <w:rsid w:val="00815F6D"/>
    <w:rsid w:val="00816354"/>
    <w:rsid w:val="0081655A"/>
    <w:rsid w:val="00816A59"/>
    <w:rsid w:val="00822056"/>
    <w:rsid w:val="00822C41"/>
    <w:rsid w:val="008242D3"/>
    <w:rsid w:val="008266A2"/>
    <w:rsid w:val="00826B54"/>
    <w:rsid w:val="00830256"/>
    <w:rsid w:val="00830BBC"/>
    <w:rsid w:val="00832D1A"/>
    <w:rsid w:val="00833269"/>
    <w:rsid w:val="008338BC"/>
    <w:rsid w:val="008344C5"/>
    <w:rsid w:val="00834D5A"/>
    <w:rsid w:val="0083572E"/>
    <w:rsid w:val="00836C69"/>
    <w:rsid w:val="00837137"/>
    <w:rsid w:val="008377DA"/>
    <w:rsid w:val="008378B3"/>
    <w:rsid w:val="00837E8D"/>
    <w:rsid w:val="008411E9"/>
    <w:rsid w:val="0084122D"/>
    <w:rsid w:val="00842335"/>
    <w:rsid w:val="00842EB1"/>
    <w:rsid w:val="008456CF"/>
    <w:rsid w:val="00846C27"/>
    <w:rsid w:val="00852D84"/>
    <w:rsid w:val="008535C3"/>
    <w:rsid w:val="008549E9"/>
    <w:rsid w:val="00855529"/>
    <w:rsid w:val="00856136"/>
    <w:rsid w:val="008562D1"/>
    <w:rsid w:val="008571EB"/>
    <w:rsid w:val="0085724C"/>
    <w:rsid w:val="00857805"/>
    <w:rsid w:val="00860C96"/>
    <w:rsid w:val="00860DC7"/>
    <w:rsid w:val="00862B6C"/>
    <w:rsid w:val="00863911"/>
    <w:rsid w:val="00864AF3"/>
    <w:rsid w:val="00864DFC"/>
    <w:rsid w:val="008659EF"/>
    <w:rsid w:val="00865C95"/>
    <w:rsid w:val="00865F75"/>
    <w:rsid w:val="00866481"/>
    <w:rsid w:val="00866F1E"/>
    <w:rsid w:val="00870620"/>
    <w:rsid w:val="0087284C"/>
    <w:rsid w:val="008730A4"/>
    <w:rsid w:val="00873187"/>
    <w:rsid w:val="008741AC"/>
    <w:rsid w:val="0087512B"/>
    <w:rsid w:val="00875395"/>
    <w:rsid w:val="008757DB"/>
    <w:rsid w:val="008759EF"/>
    <w:rsid w:val="00875F99"/>
    <w:rsid w:val="00876313"/>
    <w:rsid w:val="008768EF"/>
    <w:rsid w:val="00877A71"/>
    <w:rsid w:val="00877C26"/>
    <w:rsid w:val="0088030E"/>
    <w:rsid w:val="0088149B"/>
    <w:rsid w:val="0088149C"/>
    <w:rsid w:val="008824F3"/>
    <w:rsid w:val="00882898"/>
    <w:rsid w:val="00883470"/>
    <w:rsid w:val="008846DB"/>
    <w:rsid w:val="0088560E"/>
    <w:rsid w:val="008910DD"/>
    <w:rsid w:val="00892548"/>
    <w:rsid w:val="008938FB"/>
    <w:rsid w:val="00895CEB"/>
    <w:rsid w:val="008961C9"/>
    <w:rsid w:val="00896384"/>
    <w:rsid w:val="00896E3C"/>
    <w:rsid w:val="00896FDA"/>
    <w:rsid w:val="008A04C3"/>
    <w:rsid w:val="008A0683"/>
    <w:rsid w:val="008A07D1"/>
    <w:rsid w:val="008A0DB3"/>
    <w:rsid w:val="008A1ED9"/>
    <w:rsid w:val="008A25C0"/>
    <w:rsid w:val="008A38CD"/>
    <w:rsid w:val="008A51FC"/>
    <w:rsid w:val="008A5396"/>
    <w:rsid w:val="008A6759"/>
    <w:rsid w:val="008B3644"/>
    <w:rsid w:val="008B3920"/>
    <w:rsid w:val="008B4C82"/>
    <w:rsid w:val="008B4FEA"/>
    <w:rsid w:val="008B5299"/>
    <w:rsid w:val="008B5857"/>
    <w:rsid w:val="008B5B4A"/>
    <w:rsid w:val="008B6014"/>
    <w:rsid w:val="008B6D47"/>
    <w:rsid w:val="008C0044"/>
    <w:rsid w:val="008C0070"/>
    <w:rsid w:val="008C02BE"/>
    <w:rsid w:val="008C166E"/>
    <w:rsid w:val="008C23ED"/>
    <w:rsid w:val="008C2D8A"/>
    <w:rsid w:val="008C7C17"/>
    <w:rsid w:val="008C7D1B"/>
    <w:rsid w:val="008D0318"/>
    <w:rsid w:val="008D1C12"/>
    <w:rsid w:val="008D1C3D"/>
    <w:rsid w:val="008D2372"/>
    <w:rsid w:val="008D27A5"/>
    <w:rsid w:val="008D32B1"/>
    <w:rsid w:val="008D3A7C"/>
    <w:rsid w:val="008E119E"/>
    <w:rsid w:val="008E1D5A"/>
    <w:rsid w:val="008E2B36"/>
    <w:rsid w:val="008E2C25"/>
    <w:rsid w:val="008E332A"/>
    <w:rsid w:val="008E4510"/>
    <w:rsid w:val="008E531C"/>
    <w:rsid w:val="008E6568"/>
    <w:rsid w:val="008E6B80"/>
    <w:rsid w:val="008E7B28"/>
    <w:rsid w:val="008F3855"/>
    <w:rsid w:val="008F39B9"/>
    <w:rsid w:val="008F4A3D"/>
    <w:rsid w:val="008F4C69"/>
    <w:rsid w:val="008F63EF"/>
    <w:rsid w:val="008F6C45"/>
    <w:rsid w:val="00900122"/>
    <w:rsid w:val="00900669"/>
    <w:rsid w:val="00900C03"/>
    <w:rsid w:val="009012B6"/>
    <w:rsid w:val="009012C2"/>
    <w:rsid w:val="00901A6D"/>
    <w:rsid w:val="00903F00"/>
    <w:rsid w:val="00904F49"/>
    <w:rsid w:val="009051BB"/>
    <w:rsid w:val="00905A08"/>
    <w:rsid w:val="00905E45"/>
    <w:rsid w:val="0090630C"/>
    <w:rsid w:val="009069D3"/>
    <w:rsid w:val="00906C2D"/>
    <w:rsid w:val="009114D0"/>
    <w:rsid w:val="00914900"/>
    <w:rsid w:val="00914B1F"/>
    <w:rsid w:val="0091537A"/>
    <w:rsid w:val="0091567F"/>
    <w:rsid w:val="00916433"/>
    <w:rsid w:val="0091685E"/>
    <w:rsid w:val="00916EA1"/>
    <w:rsid w:val="00917F7A"/>
    <w:rsid w:val="00920143"/>
    <w:rsid w:val="00922324"/>
    <w:rsid w:val="0092268B"/>
    <w:rsid w:val="00922D85"/>
    <w:rsid w:val="00923412"/>
    <w:rsid w:val="00923D18"/>
    <w:rsid w:val="009256A7"/>
    <w:rsid w:val="0092610D"/>
    <w:rsid w:val="00926E2C"/>
    <w:rsid w:val="00930F48"/>
    <w:rsid w:val="009317A7"/>
    <w:rsid w:val="00932882"/>
    <w:rsid w:val="00932C32"/>
    <w:rsid w:val="00933B11"/>
    <w:rsid w:val="009343A4"/>
    <w:rsid w:val="00934754"/>
    <w:rsid w:val="00934FF7"/>
    <w:rsid w:val="0093611B"/>
    <w:rsid w:val="00936225"/>
    <w:rsid w:val="00936AE8"/>
    <w:rsid w:val="00936EC0"/>
    <w:rsid w:val="0093722B"/>
    <w:rsid w:val="00937C4D"/>
    <w:rsid w:val="00940556"/>
    <w:rsid w:val="00942642"/>
    <w:rsid w:val="0094298C"/>
    <w:rsid w:val="00943E58"/>
    <w:rsid w:val="0094452F"/>
    <w:rsid w:val="00944FB5"/>
    <w:rsid w:val="00945391"/>
    <w:rsid w:val="00945AF3"/>
    <w:rsid w:val="0095017A"/>
    <w:rsid w:val="009501C4"/>
    <w:rsid w:val="0095061B"/>
    <w:rsid w:val="00950AAC"/>
    <w:rsid w:val="009513B3"/>
    <w:rsid w:val="00953E27"/>
    <w:rsid w:val="0095417C"/>
    <w:rsid w:val="00954C86"/>
    <w:rsid w:val="00956BA3"/>
    <w:rsid w:val="00956CB2"/>
    <w:rsid w:val="009577F5"/>
    <w:rsid w:val="0096070D"/>
    <w:rsid w:val="00960ED6"/>
    <w:rsid w:val="0096228D"/>
    <w:rsid w:val="009627D9"/>
    <w:rsid w:val="0096369D"/>
    <w:rsid w:val="009638CE"/>
    <w:rsid w:val="00963A2E"/>
    <w:rsid w:val="009644F0"/>
    <w:rsid w:val="00964602"/>
    <w:rsid w:val="00964B12"/>
    <w:rsid w:val="00965371"/>
    <w:rsid w:val="009658F3"/>
    <w:rsid w:val="009677CA"/>
    <w:rsid w:val="00970BA3"/>
    <w:rsid w:val="00971312"/>
    <w:rsid w:val="00971B4A"/>
    <w:rsid w:val="0097225E"/>
    <w:rsid w:val="00972365"/>
    <w:rsid w:val="009725E8"/>
    <w:rsid w:val="00972908"/>
    <w:rsid w:val="00973293"/>
    <w:rsid w:val="00973677"/>
    <w:rsid w:val="00975DB8"/>
    <w:rsid w:val="00975DCA"/>
    <w:rsid w:val="00975E62"/>
    <w:rsid w:val="00976F61"/>
    <w:rsid w:val="00980461"/>
    <w:rsid w:val="009828AD"/>
    <w:rsid w:val="00982E5D"/>
    <w:rsid w:val="00985076"/>
    <w:rsid w:val="00985711"/>
    <w:rsid w:val="009875A7"/>
    <w:rsid w:val="009876B8"/>
    <w:rsid w:val="009877F0"/>
    <w:rsid w:val="009903AB"/>
    <w:rsid w:val="009907B0"/>
    <w:rsid w:val="00992CEB"/>
    <w:rsid w:val="009932FC"/>
    <w:rsid w:val="00993EC9"/>
    <w:rsid w:val="00994821"/>
    <w:rsid w:val="00994EC5"/>
    <w:rsid w:val="0099532F"/>
    <w:rsid w:val="0099615D"/>
    <w:rsid w:val="009A2DF0"/>
    <w:rsid w:val="009A49F6"/>
    <w:rsid w:val="009A5764"/>
    <w:rsid w:val="009A700A"/>
    <w:rsid w:val="009B0F38"/>
    <w:rsid w:val="009B15A1"/>
    <w:rsid w:val="009B19E8"/>
    <w:rsid w:val="009B3321"/>
    <w:rsid w:val="009B48C6"/>
    <w:rsid w:val="009B5118"/>
    <w:rsid w:val="009B5314"/>
    <w:rsid w:val="009B62FE"/>
    <w:rsid w:val="009C059B"/>
    <w:rsid w:val="009C0730"/>
    <w:rsid w:val="009C096D"/>
    <w:rsid w:val="009C2746"/>
    <w:rsid w:val="009C2851"/>
    <w:rsid w:val="009C380B"/>
    <w:rsid w:val="009C5A9C"/>
    <w:rsid w:val="009C6918"/>
    <w:rsid w:val="009C6C5E"/>
    <w:rsid w:val="009D21E6"/>
    <w:rsid w:val="009D3260"/>
    <w:rsid w:val="009D4645"/>
    <w:rsid w:val="009D4A5E"/>
    <w:rsid w:val="009D51E3"/>
    <w:rsid w:val="009D5AFB"/>
    <w:rsid w:val="009D66C2"/>
    <w:rsid w:val="009D79D5"/>
    <w:rsid w:val="009E0D3E"/>
    <w:rsid w:val="009E3951"/>
    <w:rsid w:val="009E4D50"/>
    <w:rsid w:val="009E6E91"/>
    <w:rsid w:val="009F0995"/>
    <w:rsid w:val="009F0D12"/>
    <w:rsid w:val="009F392A"/>
    <w:rsid w:val="009F3F6F"/>
    <w:rsid w:val="009F57C0"/>
    <w:rsid w:val="009F5ADE"/>
    <w:rsid w:val="009F5E1E"/>
    <w:rsid w:val="009F68B0"/>
    <w:rsid w:val="009F6CAB"/>
    <w:rsid w:val="009F74BC"/>
    <w:rsid w:val="00A0057E"/>
    <w:rsid w:val="00A01041"/>
    <w:rsid w:val="00A015B1"/>
    <w:rsid w:val="00A01D6F"/>
    <w:rsid w:val="00A02126"/>
    <w:rsid w:val="00A035CC"/>
    <w:rsid w:val="00A03E57"/>
    <w:rsid w:val="00A06194"/>
    <w:rsid w:val="00A06E57"/>
    <w:rsid w:val="00A0798F"/>
    <w:rsid w:val="00A1015A"/>
    <w:rsid w:val="00A108B1"/>
    <w:rsid w:val="00A11569"/>
    <w:rsid w:val="00A11D50"/>
    <w:rsid w:val="00A11F78"/>
    <w:rsid w:val="00A123A9"/>
    <w:rsid w:val="00A12558"/>
    <w:rsid w:val="00A12684"/>
    <w:rsid w:val="00A13710"/>
    <w:rsid w:val="00A14B59"/>
    <w:rsid w:val="00A16190"/>
    <w:rsid w:val="00A163B9"/>
    <w:rsid w:val="00A17106"/>
    <w:rsid w:val="00A17373"/>
    <w:rsid w:val="00A175F8"/>
    <w:rsid w:val="00A176E3"/>
    <w:rsid w:val="00A22349"/>
    <w:rsid w:val="00A23789"/>
    <w:rsid w:val="00A24100"/>
    <w:rsid w:val="00A24F03"/>
    <w:rsid w:val="00A24FFA"/>
    <w:rsid w:val="00A2791E"/>
    <w:rsid w:val="00A27935"/>
    <w:rsid w:val="00A27DF0"/>
    <w:rsid w:val="00A311F2"/>
    <w:rsid w:val="00A3125F"/>
    <w:rsid w:val="00A31902"/>
    <w:rsid w:val="00A31F1C"/>
    <w:rsid w:val="00A31FB7"/>
    <w:rsid w:val="00A321E5"/>
    <w:rsid w:val="00A33E27"/>
    <w:rsid w:val="00A33F4D"/>
    <w:rsid w:val="00A361FE"/>
    <w:rsid w:val="00A36ACC"/>
    <w:rsid w:val="00A37223"/>
    <w:rsid w:val="00A40C89"/>
    <w:rsid w:val="00A40D65"/>
    <w:rsid w:val="00A416D3"/>
    <w:rsid w:val="00A41A1B"/>
    <w:rsid w:val="00A41BA5"/>
    <w:rsid w:val="00A41BF6"/>
    <w:rsid w:val="00A431A8"/>
    <w:rsid w:val="00A43316"/>
    <w:rsid w:val="00A4589D"/>
    <w:rsid w:val="00A45BF1"/>
    <w:rsid w:val="00A45C40"/>
    <w:rsid w:val="00A4604E"/>
    <w:rsid w:val="00A46B63"/>
    <w:rsid w:val="00A50286"/>
    <w:rsid w:val="00A512E0"/>
    <w:rsid w:val="00A523CB"/>
    <w:rsid w:val="00A529CE"/>
    <w:rsid w:val="00A53192"/>
    <w:rsid w:val="00A533F9"/>
    <w:rsid w:val="00A53649"/>
    <w:rsid w:val="00A53D19"/>
    <w:rsid w:val="00A54CD2"/>
    <w:rsid w:val="00A54ECF"/>
    <w:rsid w:val="00A610CF"/>
    <w:rsid w:val="00A61EE2"/>
    <w:rsid w:val="00A63262"/>
    <w:rsid w:val="00A638EE"/>
    <w:rsid w:val="00A6390E"/>
    <w:rsid w:val="00A6451A"/>
    <w:rsid w:val="00A6481E"/>
    <w:rsid w:val="00A65332"/>
    <w:rsid w:val="00A66730"/>
    <w:rsid w:val="00A67883"/>
    <w:rsid w:val="00A70C69"/>
    <w:rsid w:val="00A71109"/>
    <w:rsid w:val="00A7309F"/>
    <w:rsid w:val="00A7348B"/>
    <w:rsid w:val="00A771ED"/>
    <w:rsid w:val="00A77391"/>
    <w:rsid w:val="00A80083"/>
    <w:rsid w:val="00A81B56"/>
    <w:rsid w:val="00A83903"/>
    <w:rsid w:val="00A8513F"/>
    <w:rsid w:val="00A853D9"/>
    <w:rsid w:val="00A8566D"/>
    <w:rsid w:val="00A85A0E"/>
    <w:rsid w:val="00A87BB0"/>
    <w:rsid w:val="00A90044"/>
    <w:rsid w:val="00A906A6"/>
    <w:rsid w:val="00A925D7"/>
    <w:rsid w:val="00A936E9"/>
    <w:rsid w:val="00A93982"/>
    <w:rsid w:val="00A94B39"/>
    <w:rsid w:val="00AA1055"/>
    <w:rsid w:val="00AA1698"/>
    <w:rsid w:val="00AA3DEE"/>
    <w:rsid w:val="00AA3EAF"/>
    <w:rsid w:val="00AA43F7"/>
    <w:rsid w:val="00AA46AF"/>
    <w:rsid w:val="00AA4EE6"/>
    <w:rsid w:val="00AA506D"/>
    <w:rsid w:val="00AA5072"/>
    <w:rsid w:val="00AA5122"/>
    <w:rsid w:val="00AA52BD"/>
    <w:rsid w:val="00AA534F"/>
    <w:rsid w:val="00AA6271"/>
    <w:rsid w:val="00AA68F6"/>
    <w:rsid w:val="00AA6D79"/>
    <w:rsid w:val="00AA781E"/>
    <w:rsid w:val="00AB08F6"/>
    <w:rsid w:val="00AB123D"/>
    <w:rsid w:val="00AB2767"/>
    <w:rsid w:val="00AB332A"/>
    <w:rsid w:val="00AB428E"/>
    <w:rsid w:val="00AB5931"/>
    <w:rsid w:val="00AB60E4"/>
    <w:rsid w:val="00AB7035"/>
    <w:rsid w:val="00AB7C8B"/>
    <w:rsid w:val="00AC1568"/>
    <w:rsid w:val="00AC23C8"/>
    <w:rsid w:val="00AC2847"/>
    <w:rsid w:val="00AC2D87"/>
    <w:rsid w:val="00AC4E9A"/>
    <w:rsid w:val="00AC57CE"/>
    <w:rsid w:val="00AC6261"/>
    <w:rsid w:val="00AC68B4"/>
    <w:rsid w:val="00AC7897"/>
    <w:rsid w:val="00AC7DEF"/>
    <w:rsid w:val="00AD1F6D"/>
    <w:rsid w:val="00AD2377"/>
    <w:rsid w:val="00AD2649"/>
    <w:rsid w:val="00AD298E"/>
    <w:rsid w:val="00AD338A"/>
    <w:rsid w:val="00AD38CA"/>
    <w:rsid w:val="00AD5470"/>
    <w:rsid w:val="00AD5DE8"/>
    <w:rsid w:val="00AD5DF7"/>
    <w:rsid w:val="00AD6039"/>
    <w:rsid w:val="00AD7B07"/>
    <w:rsid w:val="00AE0425"/>
    <w:rsid w:val="00AE1634"/>
    <w:rsid w:val="00AE1D61"/>
    <w:rsid w:val="00AE3600"/>
    <w:rsid w:val="00AE3DC3"/>
    <w:rsid w:val="00AE3EF7"/>
    <w:rsid w:val="00AE3FB8"/>
    <w:rsid w:val="00AE473F"/>
    <w:rsid w:val="00AE61F6"/>
    <w:rsid w:val="00AE6272"/>
    <w:rsid w:val="00AE6D86"/>
    <w:rsid w:val="00AF1BAF"/>
    <w:rsid w:val="00AF2915"/>
    <w:rsid w:val="00AF3C32"/>
    <w:rsid w:val="00AF4F50"/>
    <w:rsid w:val="00AF61FC"/>
    <w:rsid w:val="00AF630F"/>
    <w:rsid w:val="00AF6CB8"/>
    <w:rsid w:val="00AF7C64"/>
    <w:rsid w:val="00B00F68"/>
    <w:rsid w:val="00B010DF"/>
    <w:rsid w:val="00B01232"/>
    <w:rsid w:val="00B02206"/>
    <w:rsid w:val="00B031E3"/>
    <w:rsid w:val="00B032A1"/>
    <w:rsid w:val="00B03DD8"/>
    <w:rsid w:val="00B03E8D"/>
    <w:rsid w:val="00B03EE2"/>
    <w:rsid w:val="00B04E81"/>
    <w:rsid w:val="00B05FD4"/>
    <w:rsid w:val="00B06753"/>
    <w:rsid w:val="00B06799"/>
    <w:rsid w:val="00B073CC"/>
    <w:rsid w:val="00B07828"/>
    <w:rsid w:val="00B07FCE"/>
    <w:rsid w:val="00B11423"/>
    <w:rsid w:val="00B1215A"/>
    <w:rsid w:val="00B1453B"/>
    <w:rsid w:val="00B152B5"/>
    <w:rsid w:val="00B20434"/>
    <w:rsid w:val="00B20A32"/>
    <w:rsid w:val="00B215D5"/>
    <w:rsid w:val="00B22A12"/>
    <w:rsid w:val="00B22DBC"/>
    <w:rsid w:val="00B2400E"/>
    <w:rsid w:val="00B25156"/>
    <w:rsid w:val="00B27116"/>
    <w:rsid w:val="00B271CD"/>
    <w:rsid w:val="00B27FA4"/>
    <w:rsid w:val="00B30096"/>
    <w:rsid w:val="00B3130B"/>
    <w:rsid w:val="00B313C2"/>
    <w:rsid w:val="00B318FC"/>
    <w:rsid w:val="00B32045"/>
    <w:rsid w:val="00B32584"/>
    <w:rsid w:val="00B32BD8"/>
    <w:rsid w:val="00B33559"/>
    <w:rsid w:val="00B35084"/>
    <w:rsid w:val="00B35502"/>
    <w:rsid w:val="00B359E8"/>
    <w:rsid w:val="00B366F0"/>
    <w:rsid w:val="00B36C69"/>
    <w:rsid w:val="00B37820"/>
    <w:rsid w:val="00B3795B"/>
    <w:rsid w:val="00B40F28"/>
    <w:rsid w:val="00B414EF"/>
    <w:rsid w:val="00B429B1"/>
    <w:rsid w:val="00B45977"/>
    <w:rsid w:val="00B464D8"/>
    <w:rsid w:val="00B47663"/>
    <w:rsid w:val="00B476E3"/>
    <w:rsid w:val="00B50DBF"/>
    <w:rsid w:val="00B50FCA"/>
    <w:rsid w:val="00B52738"/>
    <w:rsid w:val="00B53E89"/>
    <w:rsid w:val="00B54FD1"/>
    <w:rsid w:val="00B55D70"/>
    <w:rsid w:val="00B56273"/>
    <w:rsid w:val="00B5681B"/>
    <w:rsid w:val="00B57C8E"/>
    <w:rsid w:val="00B60036"/>
    <w:rsid w:val="00B60A9C"/>
    <w:rsid w:val="00B60CC7"/>
    <w:rsid w:val="00B654E7"/>
    <w:rsid w:val="00B65AD6"/>
    <w:rsid w:val="00B65E63"/>
    <w:rsid w:val="00B671CE"/>
    <w:rsid w:val="00B678F0"/>
    <w:rsid w:val="00B6795B"/>
    <w:rsid w:val="00B700A1"/>
    <w:rsid w:val="00B70A10"/>
    <w:rsid w:val="00B70FD4"/>
    <w:rsid w:val="00B7101D"/>
    <w:rsid w:val="00B717DF"/>
    <w:rsid w:val="00B74664"/>
    <w:rsid w:val="00B74CAA"/>
    <w:rsid w:val="00B757F8"/>
    <w:rsid w:val="00B76032"/>
    <w:rsid w:val="00B76835"/>
    <w:rsid w:val="00B77711"/>
    <w:rsid w:val="00B7780E"/>
    <w:rsid w:val="00B77DEC"/>
    <w:rsid w:val="00B77F04"/>
    <w:rsid w:val="00B80266"/>
    <w:rsid w:val="00B819CE"/>
    <w:rsid w:val="00B81D3D"/>
    <w:rsid w:val="00B82931"/>
    <w:rsid w:val="00B839A9"/>
    <w:rsid w:val="00B84D44"/>
    <w:rsid w:val="00B85B0F"/>
    <w:rsid w:val="00B85F9F"/>
    <w:rsid w:val="00B87748"/>
    <w:rsid w:val="00B87C0D"/>
    <w:rsid w:val="00B946C0"/>
    <w:rsid w:val="00B94CFE"/>
    <w:rsid w:val="00B9521E"/>
    <w:rsid w:val="00B9569D"/>
    <w:rsid w:val="00B964F2"/>
    <w:rsid w:val="00B96553"/>
    <w:rsid w:val="00B97B50"/>
    <w:rsid w:val="00BA1093"/>
    <w:rsid w:val="00BA2245"/>
    <w:rsid w:val="00BA31C2"/>
    <w:rsid w:val="00BA4227"/>
    <w:rsid w:val="00BA544F"/>
    <w:rsid w:val="00BA591A"/>
    <w:rsid w:val="00BA5FBF"/>
    <w:rsid w:val="00BA6367"/>
    <w:rsid w:val="00BA647F"/>
    <w:rsid w:val="00BA6984"/>
    <w:rsid w:val="00BA6E91"/>
    <w:rsid w:val="00BA74D9"/>
    <w:rsid w:val="00BA7CD5"/>
    <w:rsid w:val="00BB0591"/>
    <w:rsid w:val="00BB0C9D"/>
    <w:rsid w:val="00BB0D43"/>
    <w:rsid w:val="00BB0D9B"/>
    <w:rsid w:val="00BB1278"/>
    <w:rsid w:val="00BB1EC8"/>
    <w:rsid w:val="00BB2415"/>
    <w:rsid w:val="00BB2F94"/>
    <w:rsid w:val="00BB513E"/>
    <w:rsid w:val="00BB5D70"/>
    <w:rsid w:val="00BB664B"/>
    <w:rsid w:val="00BC1866"/>
    <w:rsid w:val="00BC39E0"/>
    <w:rsid w:val="00BC68A6"/>
    <w:rsid w:val="00BC6D59"/>
    <w:rsid w:val="00BD20D6"/>
    <w:rsid w:val="00BD2293"/>
    <w:rsid w:val="00BD5A0A"/>
    <w:rsid w:val="00BD5C89"/>
    <w:rsid w:val="00BD5F0E"/>
    <w:rsid w:val="00BD610F"/>
    <w:rsid w:val="00BD6220"/>
    <w:rsid w:val="00BD654B"/>
    <w:rsid w:val="00BD7C68"/>
    <w:rsid w:val="00BE0229"/>
    <w:rsid w:val="00BE135D"/>
    <w:rsid w:val="00BE1673"/>
    <w:rsid w:val="00BE18A7"/>
    <w:rsid w:val="00BE3843"/>
    <w:rsid w:val="00BE4E22"/>
    <w:rsid w:val="00BE577C"/>
    <w:rsid w:val="00BE65B5"/>
    <w:rsid w:val="00BF02DB"/>
    <w:rsid w:val="00BF0FA3"/>
    <w:rsid w:val="00BF18E2"/>
    <w:rsid w:val="00BF28FB"/>
    <w:rsid w:val="00C01553"/>
    <w:rsid w:val="00C01BC8"/>
    <w:rsid w:val="00C02D10"/>
    <w:rsid w:val="00C0329E"/>
    <w:rsid w:val="00C03D61"/>
    <w:rsid w:val="00C045DA"/>
    <w:rsid w:val="00C0643E"/>
    <w:rsid w:val="00C0719E"/>
    <w:rsid w:val="00C0720F"/>
    <w:rsid w:val="00C073A8"/>
    <w:rsid w:val="00C076D9"/>
    <w:rsid w:val="00C104C5"/>
    <w:rsid w:val="00C11286"/>
    <w:rsid w:val="00C11764"/>
    <w:rsid w:val="00C11A96"/>
    <w:rsid w:val="00C14F88"/>
    <w:rsid w:val="00C167A4"/>
    <w:rsid w:val="00C171B9"/>
    <w:rsid w:val="00C20367"/>
    <w:rsid w:val="00C203C4"/>
    <w:rsid w:val="00C20959"/>
    <w:rsid w:val="00C20BF1"/>
    <w:rsid w:val="00C21182"/>
    <w:rsid w:val="00C211D2"/>
    <w:rsid w:val="00C22515"/>
    <w:rsid w:val="00C23C76"/>
    <w:rsid w:val="00C2446E"/>
    <w:rsid w:val="00C255C8"/>
    <w:rsid w:val="00C25970"/>
    <w:rsid w:val="00C269FC"/>
    <w:rsid w:val="00C26DCF"/>
    <w:rsid w:val="00C27705"/>
    <w:rsid w:val="00C27A1E"/>
    <w:rsid w:val="00C30BE6"/>
    <w:rsid w:val="00C31DDB"/>
    <w:rsid w:val="00C32604"/>
    <w:rsid w:val="00C328CD"/>
    <w:rsid w:val="00C32C15"/>
    <w:rsid w:val="00C32FA4"/>
    <w:rsid w:val="00C364FA"/>
    <w:rsid w:val="00C36E65"/>
    <w:rsid w:val="00C41445"/>
    <w:rsid w:val="00C417BF"/>
    <w:rsid w:val="00C418C1"/>
    <w:rsid w:val="00C41B09"/>
    <w:rsid w:val="00C42798"/>
    <w:rsid w:val="00C4348C"/>
    <w:rsid w:val="00C44311"/>
    <w:rsid w:val="00C447F8"/>
    <w:rsid w:val="00C45304"/>
    <w:rsid w:val="00C46E8E"/>
    <w:rsid w:val="00C500E7"/>
    <w:rsid w:val="00C52376"/>
    <w:rsid w:val="00C52B55"/>
    <w:rsid w:val="00C52F00"/>
    <w:rsid w:val="00C53148"/>
    <w:rsid w:val="00C53B6E"/>
    <w:rsid w:val="00C56BD0"/>
    <w:rsid w:val="00C57227"/>
    <w:rsid w:val="00C5757C"/>
    <w:rsid w:val="00C576C4"/>
    <w:rsid w:val="00C57862"/>
    <w:rsid w:val="00C60F12"/>
    <w:rsid w:val="00C617DE"/>
    <w:rsid w:val="00C61C53"/>
    <w:rsid w:val="00C62DE5"/>
    <w:rsid w:val="00C6382E"/>
    <w:rsid w:val="00C64205"/>
    <w:rsid w:val="00C647D2"/>
    <w:rsid w:val="00C66724"/>
    <w:rsid w:val="00C66FD6"/>
    <w:rsid w:val="00C700D9"/>
    <w:rsid w:val="00C709C5"/>
    <w:rsid w:val="00C7144D"/>
    <w:rsid w:val="00C71667"/>
    <w:rsid w:val="00C74586"/>
    <w:rsid w:val="00C74B34"/>
    <w:rsid w:val="00C773EE"/>
    <w:rsid w:val="00C7755C"/>
    <w:rsid w:val="00C82C7E"/>
    <w:rsid w:val="00C82CDB"/>
    <w:rsid w:val="00C83960"/>
    <w:rsid w:val="00C84520"/>
    <w:rsid w:val="00C8470F"/>
    <w:rsid w:val="00C84EE8"/>
    <w:rsid w:val="00C8660F"/>
    <w:rsid w:val="00C90E14"/>
    <w:rsid w:val="00C92F6F"/>
    <w:rsid w:val="00C939CC"/>
    <w:rsid w:val="00C9434E"/>
    <w:rsid w:val="00C95492"/>
    <w:rsid w:val="00C956B9"/>
    <w:rsid w:val="00C96081"/>
    <w:rsid w:val="00C961B9"/>
    <w:rsid w:val="00CA0B7A"/>
    <w:rsid w:val="00CA2141"/>
    <w:rsid w:val="00CA283B"/>
    <w:rsid w:val="00CA3AE7"/>
    <w:rsid w:val="00CA5330"/>
    <w:rsid w:val="00CA5765"/>
    <w:rsid w:val="00CA6FDF"/>
    <w:rsid w:val="00CA7F3F"/>
    <w:rsid w:val="00CB2D7B"/>
    <w:rsid w:val="00CB360C"/>
    <w:rsid w:val="00CB36B5"/>
    <w:rsid w:val="00CB403B"/>
    <w:rsid w:val="00CB43E0"/>
    <w:rsid w:val="00CB4DE1"/>
    <w:rsid w:val="00CB5D41"/>
    <w:rsid w:val="00CC0799"/>
    <w:rsid w:val="00CC130A"/>
    <w:rsid w:val="00CC1E3A"/>
    <w:rsid w:val="00CC400B"/>
    <w:rsid w:val="00CC61D6"/>
    <w:rsid w:val="00CC6486"/>
    <w:rsid w:val="00CC744D"/>
    <w:rsid w:val="00CC7EBF"/>
    <w:rsid w:val="00CD162D"/>
    <w:rsid w:val="00CD2A3B"/>
    <w:rsid w:val="00CD57F7"/>
    <w:rsid w:val="00CD609B"/>
    <w:rsid w:val="00CE068F"/>
    <w:rsid w:val="00CE1139"/>
    <w:rsid w:val="00CE128C"/>
    <w:rsid w:val="00CE23A2"/>
    <w:rsid w:val="00CE2572"/>
    <w:rsid w:val="00CE33D9"/>
    <w:rsid w:val="00CE35A1"/>
    <w:rsid w:val="00CE472F"/>
    <w:rsid w:val="00CE4BF3"/>
    <w:rsid w:val="00CE4D0B"/>
    <w:rsid w:val="00CE50FA"/>
    <w:rsid w:val="00CE537B"/>
    <w:rsid w:val="00CE5ACE"/>
    <w:rsid w:val="00CE5ED3"/>
    <w:rsid w:val="00CE6164"/>
    <w:rsid w:val="00CE6641"/>
    <w:rsid w:val="00CE6AFF"/>
    <w:rsid w:val="00CE746D"/>
    <w:rsid w:val="00CF02CC"/>
    <w:rsid w:val="00CF0696"/>
    <w:rsid w:val="00CF1BAF"/>
    <w:rsid w:val="00CF1FBC"/>
    <w:rsid w:val="00CF2852"/>
    <w:rsid w:val="00CF286A"/>
    <w:rsid w:val="00CF3213"/>
    <w:rsid w:val="00CF686C"/>
    <w:rsid w:val="00CF6EC7"/>
    <w:rsid w:val="00CF787B"/>
    <w:rsid w:val="00CF7EF3"/>
    <w:rsid w:val="00D016BA"/>
    <w:rsid w:val="00D02F8D"/>
    <w:rsid w:val="00D0330A"/>
    <w:rsid w:val="00D03E3B"/>
    <w:rsid w:val="00D0472B"/>
    <w:rsid w:val="00D0506A"/>
    <w:rsid w:val="00D05143"/>
    <w:rsid w:val="00D052B9"/>
    <w:rsid w:val="00D055A2"/>
    <w:rsid w:val="00D05912"/>
    <w:rsid w:val="00D05BFC"/>
    <w:rsid w:val="00D05ECB"/>
    <w:rsid w:val="00D06840"/>
    <w:rsid w:val="00D07D7E"/>
    <w:rsid w:val="00D103E5"/>
    <w:rsid w:val="00D10F97"/>
    <w:rsid w:val="00D1119D"/>
    <w:rsid w:val="00D12E2E"/>
    <w:rsid w:val="00D142D0"/>
    <w:rsid w:val="00D15F60"/>
    <w:rsid w:val="00D17176"/>
    <w:rsid w:val="00D17DA9"/>
    <w:rsid w:val="00D20846"/>
    <w:rsid w:val="00D216B4"/>
    <w:rsid w:val="00D24A1C"/>
    <w:rsid w:val="00D24D0F"/>
    <w:rsid w:val="00D2554C"/>
    <w:rsid w:val="00D25857"/>
    <w:rsid w:val="00D26D87"/>
    <w:rsid w:val="00D278C0"/>
    <w:rsid w:val="00D27916"/>
    <w:rsid w:val="00D279F5"/>
    <w:rsid w:val="00D27A00"/>
    <w:rsid w:val="00D30794"/>
    <w:rsid w:val="00D3089F"/>
    <w:rsid w:val="00D30D9F"/>
    <w:rsid w:val="00D316E0"/>
    <w:rsid w:val="00D32166"/>
    <w:rsid w:val="00D328BD"/>
    <w:rsid w:val="00D3483F"/>
    <w:rsid w:val="00D35698"/>
    <w:rsid w:val="00D35BB7"/>
    <w:rsid w:val="00D36891"/>
    <w:rsid w:val="00D36A27"/>
    <w:rsid w:val="00D40589"/>
    <w:rsid w:val="00D40666"/>
    <w:rsid w:val="00D40A18"/>
    <w:rsid w:val="00D40B37"/>
    <w:rsid w:val="00D42A97"/>
    <w:rsid w:val="00D43BDF"/>
    <w:rsid w:val="00D44AFE"/>
    <w:rsid w:val="00D452B8"/>
    <w:rsid w:val="00D45A85"/>
    <w:rsid w:val="00D46BD4"/>
    <w:rsid w:val="00D46D84"/>
    <w:rsid w:val="00D4707E"/>
    <w:rsid w:val="00D50B2A"/>
    <w:rsid w:val="00D50B82"/>
    <w:rsid w:val="00D51169"/>
    <w:rsid w:val="00D5268A"/>
    <w:rsid w:val="00D5331D"/>
    <w:rsid w:val="00D53A27"/>
    <w:rsid w:val="00D53CD3"/>
    <w:rsid w:val="00D540AB"/>
    <w:rsid w:val="00D54135"/>
    <w:rsid w:val="00D54DCA"/>
    <w:rsid w:val="00D54E90"/>
    <w:rsid w:val="00D561FA"/>
    <w:rsid w:val="00D5679A"/>
    <w:rsid w:val="00D567D2"/>
    <w:rsid w:val="00D57296"/>
    <w:rsid w:val="00D572F1"/>
    <w:rsid w:val="00D57792"/>
    <w:rsid w:val="00D62910"/>
    <w:rsid w:val="00D63B18"/>
    <w:rsid w:val="00D648EF"/>
    <w:rsid w:val="00D65542"/>
    <w:rsid w:val="00D6577E"/>
    <w:rsid w:val="00D65889"/>
    <w:rsid w:val="00D65F87"/>
    <w:rsid w:val="00D66926"/>
    <w:rsid w:val="00D675EB"/>
    <w:rsid w:val="00D679DB"/>
    <w:rsid w:val="00D702EF"/>
    <w:rsid w:val="00D70A34"/>
    <w:rsid w:val="00D72538"/>
    <w:rsid w:val="00D7258F"/>
    <w:rsid w:val="00D7259C"/>
    <w:rsid w:val="00D730F1"/>
    <w:rsid w:val="00D731E3"/>
    <w:rsid w:val="00D73643"/>
    <w:rsid w:val="00D75090"/>
    <w:rsid w:val="00D76310"/>
    <w:rsid w:val="00D77CEF"/>
    <w:rsid w:val="00D80284"/>
    <w:rsid w:val="00D80849"/>
    <w:rsid w:val="00D80A7E"/>
    <w:rsid w:val="00D81111"/>
    <w:rsid w:val="00D8257D"/>
    <w:rsid w:val="00D836CA"/>
    <w:rsid w:val="00D840A1"/>
    <w:rsid w:val="00D85929"/>
    <w:rsid w:val="00D86126"/>
    <w:rsid w:val="00D87399"/>
    <w:rsid w:val="00D90F7B"/>
    <w:rsid w:val="00D914E6"/>
    <w:rsid w:val="00D923B1"/>
    <w:rsid w:val="00D92A8D"/>
    <w:rsid w:val="00D92D7A"/>
    <w:rsid w:val="00D934F6"/>
    <w:rsid w:val="00D9382B"/>
    <w:rsid w:val="00D9695E"/>
    <w:rsid w:val="00D97487"/>
    <w:rsid w:val="00DA05C1"/>
    <w:rsid w:val="00DA34AF"/>
    <w:rsid w:val="00DA3739"/>
    <w:rsid w:val="00DA5B8B"/>
    <w:rsid w:val="00DA6887"/>
    <w:rsid w:val="00DB0496"/>
    <w:rsid w:val="00DB0AE2"/>
    <w:rsid w:val="00DB0CB8"/>
    <w:rsid w:val="00DB1EAC"/>
    <w:rsid w:val="00DB2B00"/>
    <w:rsid w:val="00DB3600"/>
    <w:rsid w:val="00DB3D63"/>
    <w:rsid w:val="00DB4B4B"/>
    <w:rsid w:val="00DB58BE"/>
    <w:rsid w:val="00DB5CF9"/>
    <w:rsid w:val="00DB64B1"/>
    <w:rsid w:val="00DC003D"/>
    <w:rsid w:val="00DC0995"/>
    <w:rsid w:val="00DC25C2"/>
    <w:rsid w:val="00DC2B5C"/>
    <w:rsid w:val="00DC30E2"/>
    <w:rsid w:val="00DC3164"/>
    <w:rsid w:val="00DC5239"/>
    <w:rsid w:val="00DC53CD"/>
    <w:rsid w:val="00DC64B2"/>
    <w:rsid w:val="00DC6BB6"/>
    <w:rsid w:val="00DC76E4"/>
    <w:rsid w:val="00DD09F5"/>
    <w:rsid w:val="00DD13B1"/>
    <w:rsid w:val="00DD1500"/>
    <w:rsid w:val="00DD3857"/>
    <w:rsid w:val="00DD4A0D"/>
    <w:rsid w:val="00DD4E08"/>
    <w:rsid w:val="00DD55F7"/>
    <w:rsid w:val="00DD6182"/>
    <w:rsid w:val="00DE0544"/>
    <w:rsid w:val="00DE3CA9"/>
    <w:rsid w:val="00DE4C8D"/>
    <w:rsid w:val="00DE5D84"/>
    <w:rsid w:val="00DF0EC0"/>
    <w:rsid w:val="00DF1527"/>
    <w:rsid w:val="00DF1EDA"/>
    <w:rsid w:val="00DF1FEB"/>
    <w:rsid w:val="00DF338D"/>
    <w:rsid w:val="00DF6E6A"/>
    <w:rsid w:val="00DF7362"/>
    <w:rsid w:val="00E00B50"/>
    <w:rsid w:val="00E02A5C"/>
    <w:rsid w:val="00E034C7"/>
    <w:rsid w:val="00E0564D"/>
    <w:rsid w:val="00E0591F"/>
    <w:rsid w:val="00E06F81"/>
    <w:rsid w:val="00E1100B"/>
    <w:rsid w:val="00E111F8"/>
    <w:rsid w:val="00E133CD"/>
    <w:rsid w:val="00E137B3"/>
    <w:rsid w:val="00E138AD"/>
    <w:rsid w:val="00E14FBA"/>
    <w:rsid w:val="00E16082"/>
    <w:rsid w:val="00E165F9"/>
    <w:rsid w:val="00E17A97"/>
    <w:rsid w:val="00E209FD"/>
    <w:rsid w:val="00E20C5F"/>
    <w:rsid w:val="00E20D13"/>
    <w:rsid w:val="00E21064"/>
    <w:rsid w:val="00E2361A"/>
    <w:rsid w:val="00E2417F"/>
    <w:rsid w:val="00E24C81"/>
    <w:rsid w:val="00E25BBC"/>
    <w:rsid w:val="00E31F43"/>
    <w:rsid w:val="00E325DE"/>
    <w:rsid w:val="00E33680"/>
    <w:rsid w:val="00E33C61"/>
    <w:rsid w:val="00E33FF6"/>
    <w:rsid w:val="00E342C4"/>
    <w:rsid w:val="00E346CA"/>
    <w:rsid w:val="00E34A6E"/>
    <w:rsid w:val="00E34F9E"/>
    <w:rsid w:val="00E358B8"/>
    <w:rsid w:val="00E36687"/>
    <w:rsid w:val="00E37104"/>
    <w:rsid w:val="00E372A3"/>
    <w:rsid w:val="00E43C82"/>
    <w:rsid w:val="00E45886"/>
    <w:rsid w:val="00E4594D"/>
    <w:rsid w:val="00E4642A"/>
    <w:rsid w:val="00E46E9C"/>
    <w:rsid w:val="00E4722E"/>
    <w:rsid w:val="00E47646"/>
    <w:rsid w:val="00E477CE"/>
    <w:rsid w:val="00E47804"/>
    <w:rsid w:val="00E47C07"/>
    <w:rsid w:val="00E47FC7"/>
    <w:rsid w:val="00E502AA"/>
    <w:rsid w:val="00E50A0D"/>
    <w:rsid w:val="00E5114E"/>
    <w:rsid w:val="00E51367"/>
    <w:rsid w:val="00E5212D"/>
    <w:rsid w:val="00E521D0"/>
    <w:rsid w:val="00E53341"/>
    <w:rsid w:val="00E53F85"/>
    <w:rsid w:val="00E540AC"/>
    <w:rsid w:val="00E55179"/>
    <w:rsid w:val="00E55269"/>
    <w:rsid w:val="00E55488"/>
    <w:rsid w:val="00E556D9"/>
    <w:rsid w:val="00E55CB5"/>
    <w:rsid w:val="00E56DBB"/>
    <w:rsid w:val="00E57453"/>
    <w:rsid w:val="00E61E02"/>
    <w:rsid w:val="00E639F6"/>
    <w:rsid w:val="00E64DAA"/>
    <w:rsid w:val="00E65383"/>
    <w:rsid w:val="00E65F79"/>
    <w:rsid w:val="00E66B34"/>
    <w:rsid w:val="00E674F8"/>
    <w:rsid w:val="00E676E0"/>
    <w:rsid w:val="00E67AC9"/>
    <w:rsid w:val="00E67EDD"/>
    <w:rsid w:val="00E73EB0"/>
    <w:rsid w:val="00E75A7A"/>
    <w:rsid w:val="00E77E06"/>
    <w:rsid w:val="00E819E2"/>
    <w:rsid w:val="00E842E1"/>
    <w:rsid w:val="00E8526B"/>
    <w:rsid w:val="00E86CD5"/>
    <w:rsid w:val="00E87236"/>
    <w:rsid w:val="00E8799A"/>
    <w:rsid w:val="00E91635"/>
    <w:rsid w:val="00E92B82"/>
    <w:rsid w:val="00E92E0A"/>
    <w:rsid w:val="00E93230"/>
    <w:rsid w:val="00E93369"/>
    <w:rsid w:val="00E94D71"/>
    <w:rsid w:val="00E953C3"/>
    <w:rsid w:val="00E95B7B"/>
    <w:rsid w:val="00E97F51"/>
    <w:rsid w:val="00EA05CB"/>
    <w:rsid w:val="00EA0BD0"/>
    <w:rsid w:val="00EA184B"/>
    <w:rsid w:val="00EA2E88"/>
    <w:rsid w:val="00EA3362"/>
    <w:rsid w:val="00EA6361"/>
    <w:rsid w:val="00EB113B"/>
    <w:rsid w:val="00EB17D5"/>
    <w:rsid w:val="00EB32D8"/>
    <w:rsid w:val="00EB33E9"/>
    <w:rsid w:val="00EB442A"/>
    <w:rsid w:val="00EB68FB"/>
    <w:rsid w:val="00EB6968"/>
    <w:rsid w:val="00EB7068"/>
    <w:rsid w:val="00EC0328"/>
    <w:rsid w:val="00EC1CB2"/>
    <w:rsid w:val="00EC32CB"/>
    <w:rsid w:val="00EC4B53"/>
    <w:rsid w:val="00EC5143"/>
    <w:rsid w:val="00EC5F5A"/>
    <w:rsid w:val="00EC73F0"/>
    <w:rsid w:val="00ED0888"/>
    <w:rsid w:val="00ED37E6"/>
    <w:rsid w:val="00ED4D4E"/>
    <w:rsid w:val="00ED653F"/>
    <w:rsid w:val="00ED6C5A"/>
    <w:rsid w:val="00ED6CCF"/>
    <w:rsid w:val="00EE0FA9"/>
    <w:rsid w:val="00EE2088"/>
    <w:rsid w:val="00EE3840"/>
    <w:rsid w:val="00EE5BD4"/>
    <w:rsid w:val="00EE6578"/>
    <w:rsid w:val="00EE6CE3"/>
    <w:rsid w:val="00EE70B6"/>
    <w:rsid w:val="00EF02C9"/>
    <w:rsid w:val="00EF0E3E"/>
    <w:rsid w:val="00EF1D26"/>
    <w:rsid w:val="00EF1EDC"/>
    <w:rsid w:val="00EF3142"/>
    <w:rsid w:val="00EF3BFD"/>
    <w:rsid w:val="00EF4B84"/>
    <w:rsid w:val="00EF616E"/>
    <w:rsid w:val="00EF6D91"/>
    <w:rsid w:val="00EF760B"/>
    <w:rsid w:val="00F001F1"/>
    <w:rsid w:val="00F0206A"/>
    <w:rsid w:val="00F028D7"/>
    <w:rsid w:val="00F0389A"/>
    <w:rsid w:val="00F04ABD"/>
    <w:rsid w:val="00F04D9D"/>
    <w:rsid w:val="00F05CCA"/>
    <w:rsid w:val="00F06EF0"/>
    <w:rsid w:val="00F07DB3"/>
    <w:rsid w:val="00F10B49"/>
    <w:rsid w:val="00F1195F"/>
    <w:rsid w:val="00F14003"/>
    <w:rsid w:val="00F16B19"/>
    <w:rsid w:val="00F16BD9"/>
    <w:rsid w:val="00F16FD8"/>
    <w:rsid w:val="00F20F44"/>
    <w:rsid w:val="00F213DD"/>
    <w:rsid w:val="00F21D2F"/>
    <w:rsid w:val="00F22B5E"/>
    <w:rsid w:val="00F23906"/>
    <w:rsid w:val="00F23EAD"/>
    <w:rsid w:val="00F24634"/>
    <w:rsid w:val="00F25E65"/>
    <w:rsid w:val="00F25F80"/>
    <w:rsid w:val="00F270C5"/>
    <w:rsid w:val="00F2741B"/>
    <w:rsid w:val="00F27AC4"/>
    <w:rsid w:val="00F314A0"/>
    <w:rsid w:val="00F315FB"/>
    <w:rsid w:val="00F3219A"/>
    <w:rsid w:val="00F34E31"/>
    <w:rsid w:val="00F350EA"/>
    <w:rsid w:val="00F3711F"/>
    <w:rsid w:val="00F37738"/>
    <w:rsid w:val="00F40DF8"/>
    <w:rsid w:val="00F410EF"/>
    <w:rsid w:val="00F428D6"/>
    <w:rsid w:val="00F42ADC"/>
    <w:rsid w:val="00F44864"/>
    <w:rsid w:val="00F44CF7"/>
    <w:rsid w:val="00F452CE"/>
    <w:rsid w:val="00F45601"/>
    <w:rsid w:val="00F46A05"/>
    <w:rsid w:val="00F46CCD"/>
    <w:rsid w:val="00F47FF4"/>
    <w:rsid w:val="00F51185"/>
    <w:rsid w:val="00F5289B"/>
    <w:rsid w:val="00F53581"/>
    <w:rsid w:val="00F53A3C"/>
    <w:rsid w:val="00F53C05"/>
    <w:rsid w:val="00F551F4"/>
    <w:rsid w:val="00F55B93"/>
    <w:rsid w:val="00F57943"/>
    <w:rsid w:val="00F60157"/>
    <w:rsid w:val="00F6040D"/>
    <w:rsid w:val="00F60575"/>
    <w:rsid w:val="00F610ED"/>
    <w:rsid w:val="00F61FA2"/>
    <w:rsid w:val="00F62DFB"/>
    <w:rsid w:val="00F6311E"/>
    <w:rsid w:val="00F63AAD"/>
    <w:rsid w:val="00F63C9D"/>
    <w:rsid w:val="00F63D90"/>
    <w:rsid w:val="00F643C9"/>
    <w:rsid w:val="00F65745"/>
    <w:rsid w:val="00F6718C"/>
    <w:rsid w:val="00F67268"/>
    <w:rsid w:val="00F672C1"/>
    <w:rsid w:val="00F674F5"/>
    <w:rsid w:val="00F67915"/>
    <w:rsid w:val="00F67A6C"/>
    <w:rsid w:val="00F67D4F"/>
    <w:rsid w:val="00F709A4"/>
    <w:rsid w:val="00F70BCC"/>
    <w:rsid w:val="00F70CFA"/>
    <w:rsid w:val="00F71547"/>
    <w:rsid w:val="00F717C2"/>
    <w:rsid w:val="00F71896"/>
    <w:rsid w:val="00F72275"/>
    <w:rsid w:val="00F72705"/>
    <w:rsid w:val="00F72C4D"/>
    <w:rsid w:val="00F72C57"/>
    <w:rsid w:val="00F73FB8"/>
    <w:rsid w:val="00F76D8C"/>
    <w:rsid w:val="00F772D4"/>
    <w:rsid w:val="00F777AD"/>
    <w:rsid w:val="00F77A0D"/>
    <w:rsid w:val="00F821DA"/>
    <w:rsid w:val="00F835E0"/>
    <w:rsid w:val="00F840AC"/>
    <w:rsid w:val="00F846DA"/>
    <w:rsid w:val="00F84719"/>
    <w:rsid w:val="00F8519C"/>
    <w:rsid w:val="00F86975"/>
    <w:rsid w:val="00F87DEF"/>
    <w:rsid w:val="00F87EF5"/>
    <w:rsid w:val="00F91C36"/>
    <w:rsid w:val="00F91D49"/>
    <w:rsid w:val="00F91F9A"/>
    <w:rsid w:val="00F9264F"/>
    <w:rsid w:val="00F928D8"/>
    <w:rsid w:val="00F93867"/>
    <w:rsid w:val="00F93EE1"/>
    <w:rsid w:val="00F95199"/>
    <w:rsid w:val="00F959F7"/>
    <w:rsid w:val="00F9775E"/>
    <w:rsid w:val="00F97B68"/>
    <w:rsid w:val="00FA0451"/>
    <w:rsid w:val="00FA08B1"/>
    <w:rsid w:val="00FA2E13"/>
    <w:rsid w:val="00FA3644"/>
    <w:rsid w:val="00FA545A"/>
    <w:rsid w:val="00FA59ED"/>
    <w:rsid w:val="00FA6114"/>
    <w:rsid w:val="00FA6325"/>
    <w:rsid w:val="00FA6CC4"/>
    <w:rsid w:val="00FA6F08"/>
    <w:rsid w:val="00FB000F"/>
    <w:rsid w:val="00FB11AF"/>
    <w:rsid w:val="00FB13A0"/>
    <w:rsid w:val="00FB18E3"/>
    <w:rsid w:val="00FB1A77"/>
    <w:rsid w:val="00FB1B90"/>
    <w:rsid w:val="00FB290D"/>
    <w:rsid w:val="00FB32C1"/>
    <w:rsid w:val="00FB3B73"/>
    <w:rsid w:val="00FB3BF7"/>
    <w:rsid w:val="00FB3DB4"/>
    <w:rsid w:val="00FB3F21"/>
    <w:rsid w:val="00FB45C4"/>
    <w:rsid w:val="00FB50F4"/>
    <w:rsid w:val="00FB544D"/>
    <w:rsid w:val="00FB6230"/>
    <w:rsid w:val="00FB708D"/>
    <w:rsid w:val="00FC0060"/>
    <w:rsid w:val="00FC06A9"/>
    <w:rsid w:val="00FC2A4D"/>
    <w:rsid w:val="00FC2BC5"/>
    <w:rsid w:val="00FC2F3C"/>
    <w:rsid w:val="00FC551A"/>
    <w:rsid w:val="00FC56A9"/>
    <w:rsid w:val="00FC72F1"/>
    <w:rsid w:val="00FD01EF"/>
    <w:rsid w:val="00FD0D44"/>
    <w:rsid w:val="00FD153B"/>
    <w:rsid w:val="00FD175D"/>
    <w:rsid w:val="00FD2567"/>
    <w:rsid w:val="00FD2A90"/>
    <w:rsid w:val="00FD30EE"/>
    <w:rsid w:val="00FD3626"/>
    <w:rsid w:val="00FD3D2A"/>
    <w:rsid w:val="00FD4BE6"/>
    <w:rsid w:val="00FD6452"/>
    <w:rsid w:val="00FD646C"/>
    <w:rsid w:val="00FD6D41"/>
    <w:rsid w:val="00FD6DDE"/>
    <w:rsid w:val="00FD6FA0"/>
    <w:rsid w:val="00FD7E87"/>
    <w:rsid w:val="00FE0040"/>
    <w:rsid w:val="00FE0727"/>
    <w:rsid w:val="00FE0F37"/>
    <w:rsid w:val="00FE13CB"/>
    <w:rsid w:val="00FE186F"/>
    <w:rsid w:val="00FE1C7A"/>
    <w:rsid w:val="00FE24A6"/>
    <w:rsid w:val="00FE2D0E"/>
    <w:rsid w:val="00FE379E"/>
    <w:rsid w:val="00FE4161"/>
    <w:rsid w:val="00FE527A"/>
    <w:rsid w:val="00FE59BD"/>
    <w:rsid w:val="00FE5A24"/>
    <w:rsid w:val="00FE5F37"/>
    <w:rsid w:val="00FE73C6"/>
    <w:rsid w:val="00FE7831"/>
    <w:rsid w:val="00FF07E5"/>
    <w:rsid w:val="00FF45C0"/>
    <w:rsid w:val="00FF50F6"/>
    <w:rsid w:val="00FF5FD1"/>
    <w:rsid w:val="00FF6517"/>
    <w:rsid w:val="00FF67D6"/>
    <w:rsid w:val="00FF6EBB"/>
    <w:rsid w:val="00FF6F31"/>
    <w:rsid w:val="00FF72B8"/>
    <w:rsid w:val="00FF7BDD"/>
    <w:rsid w:val="00FF7F04"/>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docId w15:val="{BDB2BE45-E780-424F-8501-40AC187E7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New Roman" w:hAnsi="Times" w:cs="Times New Roman"/>
        <w:lang w:val="fr-LU" w:eastAsia="fr-L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5D84"/>
    <w:rPr>
      <w:rFonts w:ascii="Arial" w:hAnsi="Arial"/>
      <w:color w:val="000000"/>
      <w:sz w:val="24"/>
      <w:lang w:val="en-US" w:eastAsia="fr-FR"/>
    </w:rPr>
  </w:style>
  <w:style w:type="paragraph" w:styleId="Titre1">
    <w:name w:val="heading 1"/>
    <w:basedOn w:val="Normal"/>
    <w:next w:val="Normal"/>
    <w:link w:val="Titre1Car"/>
    <w:qFormat/>
    <w:pPr>
      <w:keepNext/>
      <w:numPr>
        <w:numId w:val="1"/>
      </w:numPr>
      <w:spacing w:before="140" w:line="240" w:lineRule="exact"/>
      <w:ind w:right="129"/>
      <w:jc w:val="both"/>
      <w:outlineLvl w:val="0"/>
    </w:pPr>
    <w:rPr>
      <w:rFonts w:ascii="Times New Roman" w:hAnsi="Times New Roman"/>
      <w:i/>
      <w:sz w:val="20"/>
    </w:rPr>
  </w:style>
  <w:style w:type="paragraph" w:styleId="Titre2">
    <w:name w:val="heading 2"/>
    <w:basedOn w:val="Normal"/>
    <w:next w:val="Normal"/>
    <w:qFormat/>
    <w:pPr>
      <w:keepNext/>
      <w:spacing w:before="140" w:line="240" w:lineRule="exact"/>
      <w:ind w:right="129"/>
      <w:jc w:val="both"/>
      <w:outlineLvl w:val="1"/>
    </w:pPr>
    <w:rPr>
      <w:rFonts w:ascii="Times New Roman" w:hAnsi="Times New Roman"/>
      <w:i/>
      <w:sz w:val="20"/>
    </w:rPr>
  </w:style>
  <w:style w:type="paragraph" w:styleId="Titre3">
    <w:name w:val="heading 3"/>
    <w:basedOn w:val="Normal"/>
    <w:next w:val="Normal"/>
    <w:qFormat/>
    <w:pPr>
      <w:keepNext/>
      <w:numPr>
        <w:numId w:val="3"/>
      </w:numPr>
      <w:spacing w:before="140"/>
      <w:ind w:right="130"/>
      <w:jc w:val="both"/>
      <w:outlineLvl w:val="2"/>
    </w:pPr>
    <w:rPr>
      <w:rFonts w:ascii="Times" w:hAnsi="Times"/>
      <w:i/>
      <w:sz w:val="20"/>
    </w:rPr>
  </w:style>
  <w:style w:type="paragraph" w:styleId="Titre4">
    <w:name w:val="heading 4"/>
    <w:basedOn w:val="Normal"/>
    <w:next w:val="Normal"/>
    <w:qFormat/>
    <w:pPr>
      <w:keepNext/>
      <w:spacing w:after="240" w:line="240" w:lineRule="exact"/>
      <w:ind w:left="79" w:right="130" w:firstLine="488"/>
      <w:jc w:val="both"/>
      <w:outlineLvl w:val="3"/>
    </w:pPr>
    <w:rPr>
      <w:rFonts w:ascii="Times New Roman" w:hAnsi="Times New Roman"/>
      <w:b/>
      <w:sz w:val="20"/>
      <w:lang w:val="fr-LU"/>
    </w:rPr>
  </w:style>
  <w:style w:type="paragraph" w:styleId="Titre5">
    <w:name w:val="heading 5"/>
    <w:basedOn w:val="Normal"/>
    <w:next w:val="Normal"/>
    <w:qFormat/>
    <w:pPr>
      <w:keepNext/>
      <w:spacing w:before="240" w:after="60" w:line="240" w:lineRule="exact"/>
      <w:ind w:left="62" w:right="130" w:firstLine="505"/>
      <w:jc w:val="both"/>
      <w:outlineLvl w:val="4"/>
    </w:pPr>
    <w:rPr>
      <w:rFonts w:ascii="Times New Roman" w:hAnsi="Times New Roman"/>
      <w:b/>
      <w:sz w:val="20"/>
      <w:lang w:val="fr-LU"/>
    </w:rPr>
  </w:style>
  <w:style w:type="paragraph" w:styleId="Titre6">
    <w:name w:val="heading 6"/>
    <w:basedOn w:val="Normal"/>
    <w:next w:val="Normal"/>
    <w:link w:val="Titre6Car"/>
    <w:qFormat/>
    <w:pPr>
      <w:keepNext/>
      <w:spacing w:before="240" w:after="60" w:line="240" w:lineRule="exact"/>
      <w:ind w:left="1418" w:right="130" w:hanging="851"/>
      <w:jc w:val="both"/>
      <w:outlineLvl w:val="5"/>
    </w:pPr>
    <w:rPr>
      <w:rFonts w:ascii="Times New Roman" w:hAnsi="Times New Roman"/>
      <w:b/>
      <w:sz w:val="20"/>
      <w:lang w:val="fr-LU"/>
    </w:rPr>
  </w:style>
  <w:style w:type="paragraph" w:styleId="Titre7">
    <w:name w:val="heading 7"/>
    <w:basedOn w:val="Normal"/>
    <w:next w:val="Normal"/>
    <w:link w:val="Titre7Car"/>
    <w:qFormat/>
    <w:pPr>
      <w:keepNext/>
      <w:spacing w:before="240" w:after="60" w:line="240" w:lineRule="exact"/>
      <w:ind w:left="1985" w:right="130" w:hanging="1418"/>
      <w:jc w:val="both"/>
      <w:outlineLvl w:val="6"/>
    </w:pPr>
    <w:rPr>
      <w:rFonts w:ascii="Times New Roman" w:hAnsi="Times New Roman"/>
      <w:b/>
      <w:sz w:val="20"/>
      <w:lang w:val="fr-LU"/>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fin">
    <w:name w:val="endnote text"/>
    <w:basedOn w:val="Normal"/>
    <w:semiHidden/>
    <w:rPr>
      <w:sz w:val="20"/>
    </w:rPr>
  </w:style>
  <w:style w:type="paragraph" w:styleId="En-tte">
    <w:name w:val="header"/>
    <w:basedOn w:val="Normal"/>
    <w:link w:val="En-tteCar"/>
    <w:uiPriority w:val="99"/>
    <w:pPr>
      <w:tabs>
        <w:tab w:val="center" w:pos="4153"/>
        <w:tab w:val="right" w:pos="8306"/>
      </w:tabs>
    </w:pPr>
  </w:style>
  <w:style w:type="paragraph" w:styleId="Pieddepage">
    <w:name w:val="footer"/>
    <w:basedOn w:val="Normal"/>
    <w:link w:val="PieddepageCar"/>
    <w:uiPriority w:val="99"/>
    <w:pPr>
      <w:tabs>
        <w:tab w:val="center" w:pos="4153"/>
        <w:tab w:val="right" w:pos="8306"/>
      </w:tabs>
    </w:pPr>
  </w:style>
  <w:style w:type="character" w:styleId="Numrodepage">
    <w:name w:val="page number"/>
    <w:basedOn w:val="Policepardfaut"/>
  </w:style>
  <w:style w:type="paragraph" w:styleId="Normalcentr">
    <w:name w:val="Block Text"/>
    <w:basedOn w:val="Normal"/>
    <w:pPr>
      <w:spacing w:before="140" w:line="240" w:lineRule="exact"/>
      <w:ind w:left="80" w:right="129" w:firstLine="487"/>
      <w:jc w:val="both"/>
    </w:pPr>
    <w:rPr>
      <w:rFonts w:ascii="Times New Roman" w:hAnsi="Times New Roman"/>
      <w:sz w:val="20"/>
    </w:rPr>
  </w:style>
  <w:style w:type="paragraph" w:styleId="Retraitcorpsdetexte">
    <w:name w:val="Body Text Indent"/>
    <w:basedOn w:val="Normal"/>
    <w:link w:val="RetraitcorpsdetexteCar"/>
    <w:pPr>
      <w:spacing w:before="140" w:line="240" w:lineRule="exact"/>
      <w:ind w:right="129" w:firstLine="567"/>
      <w:jc w:val="both"/>
    </w:pPr>
    <w:rPr>
      <w:rFonts w:ascii="Times New Roman" w:hAnsi="Times New Roman"/>
      <w:sz w:val="20"/>
      <w:lang w:val="fr-LU"/>
    </w:rPr>
  </w:style>
  <w:style w:type="paragraph" w:styleId="Retraitcorpsdetexte2">
    <w:name w:val="Body Text Indent 2"/>
    <w:basedOn w:val="Normal"/>
    <w:link w:val="Retraitcorpsdetexte2Car"/>
    <w:pPr>
      <w:ind w:firstLine="567"/>
      <w:jc w:val="both"/>
    </w:pPr>
    <w:rPr>
      <w:rFonts w:ascii="Times" w:hAnsi="Times"/>
      <w:sz w:val="20"/>
    </w:rPr>
  </w:style>
  <w:style w:type="paragraph" w:styleId="Corpsdetexte">
    <w:name w:val="Body Text"/>
    <w:basedOn w:val="Normal"/>
    <w:pPr>
      <w:spacing w:before="140" w:line="240" w:lineRule="exact"/>
      <w:ind w:right="129"/>
      <w:jc w:val="both"/>
    </w:pPr>
    <w:rPr>
      <w:rFonts w:ascii="Times New Roman" w:hAnsi="Times New Roman"/>
      <w:sz w:val="20"/>
    </w:rPr>
  </w:style>
  <w:style w:type="paragraph" w:styleId="Retraitcorpsdetexte3">
    <w:name w:val="Body Text Indent 3"/>
    <w:basedOn w:val="Normal"/>
    <w:pPr>
      <w:spacing w:before="120" w:after="120"/>
      <w:ind w:left="709" w:hanging="142"/>
      <w:jc w:val="both"/>
    </w:pPr>
    <w:rPr>
      <w:rFonts w:ascii="Times New Roman" w:hAnsi="Times New Roman"/>
      <w:color w:val="auto"/>
      <w:sz w:val="20"/>
      <w:lang w:val="fr-FR"/>
    </w:rPr>
  </w:style>
  <w:style w:type="paragraph" w:styleId="Corpsdetexte2">
    <w:name w:val="Body Text 2"/>
    <w:basedOn w:val="Normal"/>
    <w:pPr>
      <w:tabs>
        <w:tab w:val="left" w:pos="1418"/>
      </w:tabs>
      <w:spacing w:before="60" w:after="60" w:line="240" w:lineRule="exact"/>
      <w:ind w:right="129"/>
      <w:jc w:val="both"/>
    </w:pPr>
  </w:style>
  <w:style w:type="paragraph" w:styleId="Corpsdetexte3">
    <w:name w:val="Body Text 3"/>
    <w:basedOn w:val="Normal"/>
    <w:rPr>
      <w:rFonts w:ascii="Times" w:hAnsi="Times"/>
      <w:sz w:val="20"/>
    </w:rPr>
  </w:style>
  <w:style w:type="paragraph" w:styleId="Lgende">
    <w:name w:val="caption"/>
    <w:basedOn w:val="Normal"/>
    <w:next w:val="Normal"/>
    <w:qFormat/>
    <w:pPr>
      <w:widowControl w:val="0"/>
      <w:numPr>
        <w:numId w:val="2"/>
      </w:numPr>
      <w:tabs>
        <w:tab w:val="left" w:pos="80"/>
        <w:tab w:val="left" w:pos="10080"/>
        <w:tab w:val="left" w:pos="10800"/>
      </w:tabs>
      <w:spacing w:before="80" w:after="80"/>
      <w:ind w:firstLine="851"/>
      <w:jc w:val="both"/>
    </w:pPr>
    <w:rPr>
      <w:rFonts w:ascii="Geneva" w:hAnsi="Geneva"/>
      <w:b/>
      <w:i/>
      <w:snapToGrid w:val="0"/>
      <w:color w:val="auto"/>
      <w:sz w:val="20"/>
      <w:lang w:val="fr-FR" w:eastAsia="en-US"/>
    </w:rPr>
  </w:style>
  <w:style w:type="paragraph" w:styleId="Commentaire">
    <w:name w:val="annotation text"/>
    <w:basedOn w:val="Normal"/>
    <w:link w:val="CommentaireCar"/>
    <w:uiPriority w:val="99"/>
    <w:semiHidden/>
    <w:pPr>
      <w:widowControl w:val="0"/>
    </w:pPr>
    <w:rPr>
      <w:rFonts w:ascii="Geneva" w:hAnsi="Geneva"/>
      <w:snapToGrid w:val="0"/>
      <w:color w:val="auto"/>
      <w:sz w:val="20"/>
      <w:lang w:val="fr-FR" w:eastAsia="en-US"/>
    </w:rPr>
  </w:style>
  <w:style w:type="paragraph" w:customStyle="1" w:styleId="retrait">
    <w:name w:val="retrait"/>
    <w:basedOn w:val="Normal"/>
    <w:pPr>
      <w:spacing w:line="360" w:lineRule="auto"/>
      <w:ind w:left="1134" w:firstLine="851"/>
      <w:jc w:val="both"/>
    </w:pPr>
    <w:rPr>
      <w:rFonts w:ascii="Courier New" w:hAnsi="Courier New"/>
      <w:color w:val="auto"/>
      <w:sz w:val="20"/>
      <w:lang w:val="fr-FR"/>
    </w:rPr>
  </w:style>
  <w:style w:type="paragraph" w:customStyle="1" w:styleId="Intituldocument">
    <w:name w:val="Intitulé document"/>
    <w:basedOn w:val="Normal"/>
    <w:pPr>
      <w:keepNext/>
      <w:keepLines/>
      <w:spacing w:before="240" w:after="360"/>
    </w:pPr>
    <w:rPr>
      <w:rFonts w:ascii="Times New Roman" w:hAnsi="Times New Roman"/>
      <w:b/>
      <w:color w:val="auto"/>
      <w:kern w:val="28"/>
      <w:sz w:val="36"/>
      <w:lang w:val="fr-FR"/>
    </w:rPr>
  </w:style>
  <w:style w:type="paragraph" w:styleId="Textebrut">
    <w:name w:val="Plain Text"/>
    <w:basedOn w:val="Normal"/>
    <w:link w:val="TextebrutCar"/>
    <w:uiPriority w:val="99"/>
    <w:rPr>
      <w:rFonts w:ascii="Courier New" w:hAnsi="Courier New"/>
      <w:color w:val="auto"/>
      <w:sz w:val="20"/>
      <w:lang w:val="fr-FR"/>
    </w:rPr>
  </w:style>
  <w:style w:type="paragraph" w:customStyle="1" w:styleId="aind">
    <w:name w:val="a_ind"/>
    <w:basedOn w:val="Normal"/>
    <w:pPr>
      <w:overflowPunct w:val="0"/>
      <w:autoSpaceDE w:val="0"/>
      <w:autoSpaceDN w:val="0"/>
      <w:adjustRightInd w:val="0"/>
      <w:ind w:firstLine="851"/>
      <w:textAlignment w:val="baseline"/>
    </w:pPr>
    <w:rPr>
      <w:rFonts w:ascii="Times New Roman" w:hAnsi="Times New Roman"/>
      <w:color w:val="auto"/>
      <w:lang w:val="fr-FR"/>
    </w:rPr>
  </w:style>
  <w:style w:type="paragraph" w:styleId="Textedebulles">
    <w:name w:val="Balloon Text"/>
    <w:basedOn w:val="Normal"/>
    <w:semiHidden/>
    <w:rPr>
      <w:rFonts w:ascii="Tahoma" w:hAnsi="Tahoma" w:cs="Tahoma"/>
      <w:sz w:val="16"/>
      <w:szCs w:val="16"/>
    </w:rPr>
  </w:style>
  <w:style w:type="character" w:styleId="Lienhypertexte">
    <w:name w:val="Hyperlink"/>
    <w:rPr>
      <w:color w:val="0000FF"/>
      <w:u w:val="single"/>
    </w:rPr>
  </w:style>
  <w:style w:type="character" w:customStyle="1" w:styleId="Caractrestandard">
    <w:name w:val="Caractère standard"/>
    <w:rsid w:val="00CA2141"/>
    <w:rPr>
      <w:rFonts w:cs="Bookman Old Style"/>
      <w:color w:val="000000"/>
      <w:sz w:val="20"/>
      <w:szCs w:val="20"/>
      <w:lang w:val="fr-FR"/>
    </w:rPr>
  </w:style>
  <w:style w:type="table" w:styleId="Grilledutableau">
    <w:name w:val="Table Grid"/>
    <w:basedOn w:val="TableauNormal"/>
    <w:uiPriority w:val="59"/>
    <w:rsid w:val="008B4C82"/>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rsid w:val="007856C4"/>
    <w:rPr>
      <w:sz w:val="20"/>
    </w:rPr>
  </w:style>
  <w:style w:type="character" w:styleId="Appelnotedebasdep">
    <w:name w:val="footnote reference"/>
    <w:aliases w:val="Footnote symbol"/>
    <w:uiPriority w:val="99"/>
    <w:rsid w:val="007856C4"/>
    <w:rPr>
      <w:vertAlign w:val="superscript"/>
    </w:rPr>
  </w:style>
  <w:style w:type="paragraph" w:customStyle="1" w:styleId="ListParagraph1">
    <w:name w:val="List Paragraph1"/>
    <w:basedOn w:val="Normal"/>
    <w:qFormat/>
    <w:rsid w:val="00201420"/>
    <w:pPr>
      <w:ind w:left="720"/>
      <w:contextualSpacing/>
      <w:jc w:val="both"/>
    </w:pPr>
    <w:rPr>
      <w:color w:val="auto"/>
      <w:sz w:val="22"/>
      <w:lang w:val="fr-CA" w:eastAsia="en-US"/>
    </w:rPr>
  </w:style>
  <w:style w:type="paragraph" w:styleId="Paragraphedeliste">
    <w:name w:val="List Paragraph"/>
    <w:basedOn w:val="Normal"/>
    <w:uiPriority w:val="34"/>
    <w:qFormat/>
    <w:rsid w:val="00E47646"/>
    <w:pPr>
      <w:ind w:left="720"/>
      <w:contextualSpacing/>
    </w:pPr>
    <w:rPr>
      <w:color w:val="auto"/>
      <w:sz w:val="22"/>
      <w:lang w:val="fr-FR"/>
    </w:rPr>
  </w:style>
  <w:style w:type="character" w:customStyle="1" w:styleId="RetraitcorpsdetexteCar">
    <w:name w:val="Retrait corps de texte Car"/>
    <w:link w:val="Retraitcorpsdetexte"/>
    <w:rsid w:val="00F04D9D"/>
    <w:rPr>
      <w:rFonts w:ascii="Times New Roman" w:hAnsi="Times New Roman"/>
      <w:color w:val="000000"/>
      <w:lang w:val="fr-LU"/>
    </w:rPr>
  </w:style>
  <w:style w:type="character" w:customStyle="1" w:styleId="Titre1Car">
    <w:name w:val="Titre 1 Car"/>
    <w:link w:val="Titre1"/>
    <w:rsid w:val="00587CE3"/>
    <w:rPr>
      <w:rFonts w:ascii="Times New Roman" w:hAnsi="Times New Roman"/>
      <w:i/>
      <w:color w:val="000000"/>
      <w:lang w:val="en-US"/>
    </w:rPr>
  </w:style>
  <w:style w:type="character" w:customStyle="1" w:styleId="Titre7Car">
    <w:name w:val="Titre 7 Car"/>
    <w:link w:val="Titre7"/>
    <w:rsid w:val="00587CE3"/>
    <w:rPr>
      <w:rFonts w:ascii="Times New Roman" w:hAnsi="Times New Roman"/>
      <w:b/>
      <w:color w:val="000000"/>
      <w:lang w:val="fr-LU"/>
    </w:rPr>
  </w:style>
  <w:style w:type="paragraph" w:customStyle="1" w:styleId="Corps">
    <w:name w:val="Corps"/>
    <w:uiPriority w:val="99"/>
    <w:rsid w:val="005C6863"/>
    <w:pPr>
      <w:suppressAutoHyphens/>
    </w:pPr>
    <w:rPr>
      <w:rFonts w:ascii="Helvetica" w:eastAsia="Helvetica" w:hAnsi="Helvetica" w:cs="Helvetica"/>
      <w:color w:val="000000"/>
      <w:kern w:val="1"/>
      <w:sz w:val="22"/>
      <w:szCs w:val="22"/>
      <w:lang w:val="fr-FR" w:eastAsia="hi-IN" w:bidi="hi-IN"/>
    </w:rPr>
  </w:style>
  <w:style w:type="paragraph" w:customStyle="1" w:styleId="CM1">
    <w:name w:val="CM1"/>
    <w:basedOn w:val="Normal"/>
    <w:next w:val="Normal"/>
    <w:uiPriority w:val="99"/>
    <w:rsid w:val="005C6863"/>
    <w:pPr>
      <w:autoSpaceDE w:val="0"/>
      <w:autoSpaceDN w:val="0"/>
      <w:adjustRightInd w:val="0"/>
    </w:pPr>
    <w:rPr>
      <w:rFonts w:ascii="EUAlbertina" w:hAnsi="EUAlbertina"/>
      <w:color w:val="auto"/>
      <w:szCs w:val="24"/>
      <w:lang w:val="fr-FR"/>
    </w:rPr>
  </w:style>
  <w:style w:type="character" w:customStyle="1" w:styleId="En-tteCar">
    <w:name w:val="En-tête Car"/>
    <w:link w:val="En-tte"/>
    <w:uiPriority w:val="99"/>
    <w:rsid w:val="00842EB1"/>
    <w:rPr>
      <w:rFonts w:ascii="Arial" w:hAnsi="Arial"/>
      <w:color w:val="000000"/>
      <w:sz w:val="24"/>
      <w:lang w:val="en-US"/>
    </w:rPr>
  </w:style>
  <w:style w:type="character" w:customStyle="1" w:styleId="Retraitcorpsdetexte2Car">
    <w:name w:val="Retrait corps de texte 2 Car"/>
    <w:link w:val="Retraitcorpsdetexte2"/>
    <w:rsid w:val="00971312"/>
    <w:rPr>
      <w:color w:val="000000"/>
      <w:lang w:val="en-US"/>
    </w:rPr>
  </w:style>
  <w:style w:type="character" w:styleId="Marquedecommentaire">
    <w:name w:val="annotation reference"/>
    <w:uiPriority w:val="99"/>
    <w:unhideWhenUsed/>
    <w:rsid w:val="00FC06A9"/>
    <w:rPr>
      <w:sz w:val="16"/>
      <w:szCs w:val="16"/>
    </w:rPr>
  </w:style>
  <w:style w:type="character" w:customStyle="1" w:styleId="CommentaireCar">
    <w:name w:val="Commentaire Car"/>
    <w:link w:val="Commentaire"/>
    <w:uiPriority w:val="99"/>
    <w:semiHidden/>
    <w:rsid w:val="00FC06A9"/>
    <w:rPr>
      <w:rFonts w:ascii="Geneva" w:hAnsi="Geneva"/>
      <w:snapToGrid w:val="0"/>
      <w:lang w:eastAsia="en-US"/>
    </w:rPr>
  </w:style>
  <w:style w:type="character" w:customStyle="1" w:styleId="st">
    <w:name w:val="st"/>
    <w:rsid w:val="00F04ABD"/>
  </w:style>
  <w:style w:type="paragraph" w:styleId="NormalWeb">
    <w:name w:val="Normal (Web)"/>
    <w:basedOn w:val="Normal"/>
    <w:uiPriority w:val="99"/>
    <w:unhideWhenUsed/>
    <w:rsid w:val="00315F72"/>
    <w:rPr>
      <w:rFonts w:ascii="Times New Roman" w:eastAsia="Calibri" w:hAnsi="Times New Roman"/>
      <w:color w:val="auto"/>
      <w:szCs w:val="24"/>
      <w:lang w:val="fr-FR"/>
    </w:rPr>
  </w:style>
  <w:style w:type="paragraph" w:customStyle="1" w:styleId="Default">
    <w:name w:val="Default"/>
    <w:basedOn w:val="Normal"/>
    <w:rsid w:val="00B76032"/>
    <w:pPr>
      <w:autoSpaceDE w:val="0"/>
      <w:autoSpaceDN w:val="0"/>
    </w:pPr>
    <w:rPr>
      <w:rFonts w:ascii="Swis721 BT" w:eastAsia="Calibri" w:hAnsi="Swis721 BT"/>
      <w:szCs w:val="24"/>
      <w:lang w:val="fr-FR"/>
    </w:rPr>
  </w:style>
  <w:style w:type="character" w:customStyle="1" w:styleId="Titre6Car">
    <w:name w:val="Titre 6 Car"/>
    <w:link w:val="Titre6"/>
    <w:rsid w:val="004518CF"/>
    <w:rPr>
      <w:rFonts w:ascii="Times New Roman" w:hAnsi="Times New Roman"/>
      <w:b/>
      <w:color w:val="000000"/>
      <w:lang w:val="fr-LU"/>
    </w:rPr>
  </w:style>
  <w:style w:type="character" w:customStyle="1" w:styleId="NotedebasdepageCar">
    <w:name w:val="Note de bas de page Car"/>
    <w:link w:val="Notedebasdepage"/>
    <w:rsid w:val="005972B5"/>
    <w:rPr>
      <w:rFonts w:ascii="Arial" w:hAnsi="Arial"/>
      <w:color w:val="000000"/>
      <w:lang w:val="en-US"/>
    </w:rPr>
  </w:style>
  <w:style w:type="character" w:customStyle="1" w:styleId="TextebrutCar">
    <w:name w:val="Texte brut Car"/>
    <w:link w:val="Textebrut"/>
    <w:uiPriority w:val="99"/>
    <w:rsid w:val="00632FB3"/>
    <w:rPr>
      <w:rFonts w:ascii="Courier New" w:hAnsi="Courier New"/>
    </w:rPr>
  </w:style>
  <w:style w:type="character" w:customStyle="1" w:styleId="PieddepageCar">
    <w:name w:val="Pied de page Car"/>
    <w:link w:val="Pieddepage"/>
    <w:uiPriority w:val="99"/>
    <w:rsid w:val="008768EF"/>
    <w:rPr>
      <w:rFonts w:ascii="Arial" w:hAnsi="Arial"/>
      <w:color w:val="000000"/>
      <w:sz w:val="24"/>
      <w:lang w:val="en-US"/>
    </w:rPr>
  </w:style>
  <w:style w:type="paragraph" w:styleId="Sansinterligne">
    <w:name w:val="No Spacing"/>
    <w:uiPriority w:val="1"/>
    <w:qFormat/>
    <w:rsid w:val="00AA52BD"/>
    <w:rPr>
      <w:rFonts w:ascii="Times New Roman" w:hAnsi="Times New Roman"/>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217854">
      <w:bodyDiv w:val="1"/>
      <w:marLeft w:val="0"/>
      <w:marRight w:val="0"/>
      <w:marTop w:val="0"/>
      <w:marBottom w:val="0"/>
      <w:divBdr>
        <w:top w:val="none" w:sz="0" w:space="0" w:color="auto"/>
        <w:left w:val="none" w:sz="0" w:space="0" w:color="auto"/>
        <w:bottom w:val="none" w:sz="0" w:space="0" w:color="auto"/>
        <w:right w:val="none" w:sz="0" w:space="0" w:color="auto"/>
      </w:divBdr>
    </w:div>
    <w:div w:id="121654599">
      <w:bodyDiv w:val="1"/>
      <w:marLeft w:val="0"/>
      <w:marRight w:val="0"/>
      <w:marTop w:val="0"/>
      <w:marBottom w:val="0"/>
      <w:divBdr>
        <w:top w:val="none" w:sz="0" w:space="0" w:color="auto"/>
        <w:left w:val="none" w:sz="0" w:space="0" w:color="auto"/>
        <w:bottom w:val="none" w:sz="0" w:space="0" w:color="auto"/>
        <w:right w:val="none" w:sz="0" w:space="0" w:color="auto"/>
      </w:divBdr>
    </w:div>
    <w:div w:id="137458500">
      <w:bodyDiv w:val="1"/>
      <w:marLeft w:val="0"/>
      <w:marRight w:val="0"/>
      <w:marTop w:val="0"/>
      <w:marBottom w:val="0"/>
      <w:divBdr>
        <w:top w:val="none" w:sz="0" w:space="0" w:color="auto"/>
        <w:left w:val="none" w:sz="0" w:space="0" w:color="auto"/>
        <w:bottom w:val="none" w:sz="0" w:space="0" w:color="auto"/>
        <w:right w:val="none" w:sz="0" w:space="0" w:color="auto"/>
      </w:divBdr>
    </w:div>
    <w:div w:id="169831578">
      <w:bodyDiv w:val="1"/>
      <w:marLeft w:val="0"/>
      <w:marRight w:val="0"/>
      <w:marTop w:val="0"/>
      <w:marBottom w:val="0"/>
      <w:divBdr>
        <w:top w:val="none" w:sz="0" w:space="0" w:color="auto"/>
        <w:left w:val="none" w:sz="0" w:space="0" w:color="auto"/>
        <w:bottom w:val="none" w:sz="0" w:space="0" w:color="auto"/>
        <w:right w:val="none" w:sz="0" w:space="0" w:color="auto"/>
      </w:divBdr>
    </w:div>
    <w:div w:id="183371913">
      <w:bodyDiv w:val="1"/>
      <w:marLeft w:val="0"/>
      <w:marRight w:val="0"/>
      <w:marTop w:val="0"/>
      <w:marBottom w:val="0"/>
      <w:divBdr>
        <w:top w:val="none" w:sz="0" w:space="0" w:color="auto"/>
        <w:left w:val="none" w:sz="0" w:space="0" w:color="auto"/>
        <w:bottom w:val="none" w:sz="0" w:space="0" w:color="auto"/>
        <w:right w:val="none" w:sz="0" w:space="0" w:color="auto"/>
      </w:divBdr>
    </w:div>
    <w:div w:id="219749363">
      <w:bodyDiv w:val="1"/>
      <w:marLeft w:val="0"/>
      <w:marRight w:val="0"/>
      <w:marTop w:val="0"/>
      <w:marBottom w:val="0"/>
      <w:divBdr>
        <w:top w:val="none" w:sz="0" w:space="0" w:color="auto"/>
        <w:left w:val="none" w:sz="0" w:space="0" w:color="auto"/>
        <w:bottom w:val="none" w:sz="0" w:space="0" w:color="auto"/>
        <w:right w:val="none" w:sz="0" w:space="0" w:color="auto"/>
      </w:divBdr>
    </w:div>
    <w:div w:id="224417346">
      <w:bodyDiv w:val="1"/>
      <w:marLeft w:val="0"/>
      <w:marRight w:val="0"/>
      <w:marTop w:val="0"/>
      <w:marBottom w:val="0"/>
      <w:divBdr>
        <w:top w:val="none" w:sz="0" w:space="0" w:color="auto"/>
        <w:left w:val="none" w:sz="0" w:space="0" w:color="auto"/>
        <w:bottom w:val="none" w:sz="0" w:space="0" w:color="auto"/>
        <w:right w:val="none" w:sz="0" w:space="0" w:color="auto"/>
      </w:divBdr>
    </w:div>
    <w:div w:id="273246862">
      <w:bodyDiv w:val="1"/>
      <w:marLeft w:val="0"/>
      <w:marRight w:val="0"/>
      <w:marTop w:val="0"/>
      <w:marBottom w:val="0"/>
      <w:divBdr>
        <w:top w:val="none" w:sz="0" w:space="0" w:color="auto"/>
        <w:left w:val="none" w:sz="0" w:space="0" w:color="auto"/>
        <w:bottom w:val="none" w:sz="0" w:space="0" w:color="auto"/>
        <w:right w:val="none" w:sz="0" w:space="0" w:color="auto"/>
      </w:divBdr>
    </w:div>
    <w:div w:id="296379130">
      <w:bodyDiv w:val="1"/>
      <w:marLeft w:val="0"/>
      <w:marRight w:val="0"/>
      <w:marTop w:val="0"/>
      <w:marBottom w:val="0"/>
      <w:divBdr>
        <w:top w:val="none" w:sz="0" w:space="0" w:color="auto"/>
        <w:left w:val="none" w:sz="0" w:space="0" w:color="auto"/>
        <w:bottom w:val="none" w:sz="0" w:space="0" w:color="auto"/>
        <w:right w:val="none" w:sz="0" w:space="0" w:color="auto"/>
      </w:divBdr>
    </w:div>
    <w:div w:id="333457365">
      <w:bodyDiv w:val="1"/>
      <w:marLeft w:val="0"/>
      <w:marRight w:val="0"/>
      <w:marTop w:val="0"/>
      <w:marBottom w:val="0"/>
      <w:divBdr>
        <w:top w:val="none" w:sz="0" w:space="0" w:color="auto"/>
        <w:left w:val="none" w:sz="0" w:space="0" w:color="auto"/>
        <w:bottom w:val="none" w:sz="0" w:space="0" w:color="auto"/>
        <w:right w:val="none" w:sz="0" w:space="0" w:color="auto"/>
      </w:divBdr>
    </w:div>
    <w:div w:id="345403732">
      <w:bodyDiv w:val="1"/>
      <w:marLeft w:val="0"/>
      <w:marRight w:val="0"/>
      <w:marTop w:val="0"/>
      <w:marBottom w:val="0"/>
      <w:divBdr>
        <w:top w:val="none" w:sz="0" w:space="0" w:color="auto"/>
        <w:left w:val="none" w:sz="0" w:space="0" w:color="auto"/>
        <w:bottom w:val="none" w:sz="0" w:space="0" w:color="auto"/>
        <w:right w:val="none" w:sz="0" w:space="0" w:color="auto"/>
      </w:divBdr>
    </w:div>
    <w:div w:id="385029916">
      <w:bodyDiv w:val="1"/>
      <w:marLeft w:val="0"/>
      <w:marRight w:val="0"/>
      <w:marTop w:val="0"/>
      <w:marBottom w:val="0"/>
      <w:divBdr>
        <w:top w:val="none" w:sz="0" w:space="0" w:color="auto"/>
        <w:left w:val="none" w:sz="0" w:space="0" w:color="auto"/>
        <w:bottom w:val="none" w:sz="0" w:space="0" w:color="auto"/>
        <w:right w:val="none" w:sz="0" w:space="0" w:color="auto"/>
      </w:divBdr>
    </w:div>
    <w:div w:id="388040801">
      <w:bodyDiv w:val="1"/>
      <w:marLeft w:val="0"/>
      <w:marRight w:val="0"/>
      <w:marTop w:val="0"/>
      <w:marBottom w:val="0"/>
      <w:divBdr>
        <w:top w:val="none" w:sz="0" w:space="0" w:color="auto"/>
        <w:left w:val="none" w:sz="0" w:space="0" w:color="auto"/>
        <w:bottom w:val="none" w:sz="0" w:space="0" w:color="auto"/>
        <w:right w:val="none" w:sz="0" w:space="0" w:color="auto"/>
      </w:divBdr>
    </w:div>
    <w:div w:id="403072659">
      <w:bodyDiv w:val="1"/>
      <w:marLeft w:val="0"/>
      <w:marRight w:val="0"/>
      <w:marTop w:val="0"/>
      <w:marBottom w:val="0"/>
      <w:divBdr>
        <w:top w:val="none" w:sz="0" w:space="0" w:color="auto"/>
        <w:left w:val="none" w:sz="0" w:space="0" w:color="auto"/>
        <w:bottom w:val="none" w:sz="0" w:space="0" w:color="auto"/>
        <w:right w:val="none" w:sz="0" w:space="0" w:color="auto"/>
      </w:divBdr>
    </w:div>
    <w:div w:id="503009720">
      <w:bodyDiv w:val="1"/>
      <w:marLeft w:val="0"/>
      <w:marRight w:val="0"/>
      <w:marTop w:val="0"/>
      <w:marBottom w:val="0"/>
      <w:divBdr>
        <w:top w:val="none" w:sz="0" w:space="0" w:color="auto"/>
        <w:left w:val="none" w:sz="0" w:space="0" w:color="auto"/>
        <w:bottom w:val="none" w:sz="0" w:space="0" w:color="auto"/>
        <w:right w:val="none" w:sz="0" w:space="0" w:color="auto"/>
      </w:divBdr>
    </w:div>
    <w:div w:id="504050786">
      <w:bodyDiv w:val="1"/>
      <w:marLeft w:val="0"/>
      <w:marRight w:val="0"/>
      <w:marTop w:val="0"/>
      <w:marBottom w:val="0"/>
      <w:divBdr>
        <w:top w:val="none" w:sz="0" w:space="0" w:color="auto"/>
        <w:left w:val="none" w:sz="0" w:space="0" w:color="auto"/>
        <w:bottom w:val="none" w:sz="0" w:space="0" w:color="auto"/>
        <w:right w:val="none" w:sz="0" w:space="0" w:color="auto"/>
      </w:divBdr>
    </w:div>
    <w:div w:id="539632908">
      <w:bodyDiv w:val="1"/>
      <w:marLeft w:val="0"/>
      <w:marRight w:val="0"/>
      <w:marTop w:val="0"/>
      <w:marBottom w:val="0"/>
      <w:divBdr>
        <w:top w:val="none" w:sz="0" w:space="0" w:color="auto"/>
        <w:left w:val="none" w:sz="0" w:space="0" w:color="auto"/>
        <w:bottom w:val="none" w:sz="0" w:space="0" w:color="auto"/>
        <w:right w:val="none" w:sz="0" w:space="0" w:color="auto"/>
      </w:divBdr>
    </w:div>
    <w:div w:id="587160511">
      <w:bodyDiv w:val="1"/>
      <w:marLeft w:val="0"/>
      <w:marRight w:val="0"/>
      <w:marTop w:val="0"/>
      <w:marBottom w:val="0"/>
      <w:divBdr>
        <w:top w:val="none" w:sz="0" w:space="0" w:color="auto"/>
        <w:left w:val="none" w:sz="0" w:space="0" w:color="auto"/>
        <w:bottom w:val="none" w:sz="0" w:space="0" w:color="auto"/>
        <w:right w:val="none" w:sz="0" w:space="0" w:color="auto"/>
      </w:divBdr>
    </w:div>
    <w:div w:id="601839232">
      <w:bodyDiv w:val="1"/>
      <w:marLeft w:val="0"/>
      <w:marRight w:val="0"/>
      <w:marTop w:val="0"/>
      <w:marBottom w:val="0"/>
      <w:divBdr>
        <w:top w:val="none" w:sz="0" w:space="0" w:color="auto"/>
        <w:left w:val="none" w:sz="0" w:space="0" w:color="auto"/>
        <w:bottom w:val="none" w:sz="0" w:space="0" w:color="auto"/>
        <w:right w:val="none" w:sz="0" w:space="0" w:color="auto"/>
      </w:divBdr>
    </w:div>
    <w:div w:id="662396659">
      <w:bodyDiv w:val="1"/>
      <w:marLeft w:val="0"/>
      <w:marRight w:val="0"/>
      <w:marTop w:val="0"/>
      <w:marBottom w:val="0"/>
      <w:divBdr>
        <w:top w:val="none" w:sz="0" w:space="0" w:color="auto"/>
        <w:left w:val="none" w:sz="0" w:space="0" w:color="auto"/>
        <w:bottom w:val="none" w:sz="0" w:space="0" w:color="auto"/>
        <w:right w:val="none" w:sz="0" w:space="0" w:color="auto"/>
      </w:divBdr>
    </w:div>
    <w:div w:id="684357804">
      <w:bodyDiv w:val="1"/>
      <w:marLeft w:val="0"/>
      <w:marRight w:val="0"/>
      <w:marTop w:val="0"/>
      <w:marBottom w:val="0"/>
      <w:divBdr>
        <w:top w:val="none" w:sz="0" w:space="0" w:color="auto"/>
        <w:left w:val="none" w:sz="0" w:space="0" w:color="auto"/>
        <w:bottom w:val="none" w:sz="0" w:space="0" w:color="auto"/>
        <w:right w:val="none" w:sz="0" w:space="0" w:color="auto"/>
      </w:divBdr>
    </w:div>
    <w:div w:id="686297759">
      <w:bodyDiv w:val="1"/>
      <w:marLeft w:val="0"/>
      <w:marRight w:val="0"/>
      <w:marTop w:val="0"/>
      <w:marBottom w:val="0"/>
      <w:divBdr>
        <w:top w:val="none" w:sz="0" w:space="0" w:color="auto"/>
        <w:left w:val="none" w:sz="0" w:space="0" w:color="auto"/>
        <w:bottom w:val="none" w:sz="0" w:space="0" w:color="auto"/>
        <w:right w:val="none" w:sz="0" w:space="0" w:color="auto"/>
      </w:divBdr>
    </w:div>
    <w:div w:id="695422158">
      <w:bodyDiv w:val="1"/>
      <w:marLeft w:val="0"/>
      <w:marRight w:val="0"/>
      <w:marTop w:val="0"/>
      <w:marBottom w:val="0"/>
      <w:divBdr>
        <w:top w:val="none" w:sz="0" w:space="0" w:color="auto"/>
        <w:left w:val="none" w:sz="0" w:space="0" w:color="auto"/>
        <w:bottom w:val="none" w:sz="0" w:space="0" w:color="auto"/>
        <w:right w:val="none" w:sz="0" w:space="0" w:color="auto"/>
      </w:divBdr>
    </w:div>
    <w:div w:id="710150533">
      <w:bodyDiv w:val="1"/>
      <w:marLeft w:val="0"/>
      <w:marRight w:val="0"/>
      <w:marTop w:val="0"/>
      <w:marBottom w:val="0"/>
      <w:divBdr>
        <w:top w:val="none" w:sz="0" w:space="0" w:color="auto"/>
        <w:left w:val="none" w:sz="0" w:space="0" w:color="auto"/>
        <w:bottom w:val="none" w:sz="0" w:space="0" w:color="auto"/>
        <w:right w:val="none" w:sz="0" w:space="0" w:color="auto"/>
      </w:divBdr>
      <w:divsChild>
        <w:div w:id="951060024">
          <w:marLeft w:val="0"/>
          <w:marRight w:val="0"/>
          <w:marTop w:val="0"/>
          <w:marBottom w:val="0"/>
          <w:divBdr>
            <w:top w:val="none" w:sz="0" w:space="0" w:color="auto"/>
            <w:left w:val="none" w:sz="0" w:space="0" w:color="auto"/>
            <w:bottom w:val="none" w:sz="0" w:space="0" w:color="auto"/>
            <w:right w:val="none" w:sz="0" w:space="0" w:color="auto"/>
          </w:divBdr>
        </w:div>
      </w:divsChild>
    </w:div>
    <w:div w:id="739668586">
      <w:bodyDiv w:val="1"/>
      <w:marLeft w:val="0"/>
      <w:marRight w:val="0"/>
      <w:marTop w:val="0"/>
      <w:marBottom w:val="0"/>
      <w:divBdr>
        <w:top w:val="none" w:sz="0" w:space="0" w:color="auto"/>
        <w:left w:val="none" w:sz="0" w:space="0" w:color="auto"/>
        <w:bottom w:val="none" w:sz="0" w:space="0" w:color="auto"/>
        <w:right w:val="none" w:sz="0" w:space="0" w:color="auto"/>
      </w:divBdr>
    </w:div>
    <w:div w:id="763720201">
      <w:bodyDiv w:val="1"/>
      <w:marLeft w:val="0"/>
      <w:marRight w:val="0"/>
      <w:marTop w:val="0"/>
      <w:marBottom w:val="0"/>
      <w:divBdr>
        <w:top w:val="none" w:sz="0" w:space="0" w:color="auto"/>
        <w:left w:val="none" w:sz="0" w:space="0" w:color="auto"/>
        <w:bottom w:val="none" w:sz="0" w:space="0" w:color="auto"/>
        <w:right w:val="none" w:sz="0" w:space="0" w:color="auto"/>
      </w:divBdr>
    </w:div>
    <w:div w:id="782067929">
      <w:bodyDiv w:val="1"/>
      <w:marLeft w:val="0"/>
      <w:marRight w:val="0"/>
      <w:marTop w:val="0"/>
      <w:marBottom w:val="0"/>
      <w:divBdr>
        <w:top w:val="none" w:sz="0" w:space="0" w:color="auto"/>
        <w:left w:val="none" w:sz="0" w:space="0" w:color="auto"/>
        <w:bottom w:val="none" w:sz="0" w:space="0" w:color="auto"/>
        <w:right w:val="none" w:sz="0" w:space="0" w:color="auto"/>
      </w:divBdr>
    </w:div>
    <w:div w:id="877859132">
      <w:bodyDiv w:val="1"/>
      <w:marLeft w:val="0"/>
      <w:marRight w:val="0"/>
      <w:marTop w:val="0"/>
      <w:marBottom w:val="0"/>
      <w:divBdr>
        <w:top w:val="none" w:sz="0" w:space="0" w:color="auto"/>
        <w:left w:val="none" w:sz="0" w:space="0" w:color="auto"/>
        <w:bottom w:val="none" w:sz="0" w:space="0" w:color="auto"/>
        <w:right w:val="none" w:sz="0" w:space="0" w:color="auto"/>
      </w:divBdr>
    </w:div>
    <w:div w:id="916742426">
      <w:bodyDiv w:val="1"/>
      <w:marLeft w:val="0"/>
      <w:marRight w:val="0"/>
      <w:marTop w:val="0"/>
      <w:marBottom w:val="0"/>
      <w:divBdr>
        <w:top w:val="none" w:sz="0" w:space="0" w:color="auto"/>
        <w:left w:val="none" w:sz="0" w:space="0" w:color="auto"/>
        <w:bottom w:val="none" w:sz="0" w:space="0" w:color="auto"/>
        <w:right w:val="none" w:sz="0" w:space="0" w:color="auto"/>
      </w:divBdr>
    </w:div>
    <w:div w:id="931167063">
      <w:bodyDiv w:val="1"/>
      <w:marLeft w:val="0"/>
      <w:marRight w:val="0"/>
      <w:marTop w:val="0"/>
      <w:marBottom w:val="0"/>
      <w:divBdr>
        <w:top w:val="none" w:sz="0" w:space="0" w:color="auto"/>
        <w:left w:val="none" w:sz="0" w:space="0" w:color="auto"/>
        <w:bottom w:val="none" w:sz="0" w:space="0" w:color="auto"/>
        <w:right w:val="none" w:sz="0" w:space="0" w:color="auto"/>
      </w:divBdr>
    </w:div>
    <w:div w:id="1008140931">
      <w:bodyDiv w:val="1"/>
      <w:marLeft w:val="0"/>
      <w:marRight w:val="0"/>
      <w:marTop w:val="0"/>
      <w:marBottom w:val="0"/>
      <w:divBdr>
        <w:top w:val="none" w:sz="0" w:space="0" w:color="auto"/>
        <w:left w:val="none" w:sz="0" w:space="0" w:color="auto"/>
        <w:bottom w:val="none" w:sz="0" w:space="0" w:color="auto"/>
        <w:right w:val="none" w:sz="0" w:space="0" w:color="auto"/>
      </w:divBdr>
    </w:div>
    <w:div w:id="1015813086">
      <w:bodyDiv w:val="1"/>
      <w:marLeft w:val="0"/>
      <w:marRight w:val="0"/>
      <w:marTop w:val="0"/>
      <w:marBottom w:val="0"/>
      <w:divBdr>
        <w:top w:val="none" w:sz="0" w:space="0" w:color="auto"/>
        <w:left w:val="none" w:sz="0" w:space="0" w:color="auto"/>
        <w:bottom w:val="none" w:sz="0" w:space="0" w:color="auto"/>
        <w:right w:val="none" w:sz="0" w:space="0" w:color="auto"/>
      </w:divBdr>
    </w:div>
    <w:div w:id="1047800073">
      <w:bodyDiv w:val="1"/>
      <w:marLeft w:val="0"/>
      <w:marRight w:val="0"/>
      <w:marTop w:val="0"/>
      <w:marBottom w:val="0"/>
      <w:divBdr>
        <w:top w:val="none" w:sz="0" w:space="0" w:color="auto"/>
        <w:left w:val="none" w:sz="0" w:space="0" w:color="auto"/>
        <w:bottom w:val="none" w:sz="0" w:space="0" w:color="auto"/>
        <w:right w:val="none" w:sz="0" w:space="0" w:color="auto"/>
      </w:divBdr>
    </w:div>
    <w:div w:id="1065838433">
      <w:bodyDiv w:val="1"/>
      <w:marLeft w:val="0"/>
      <w:marRight w:val="0"/>
      <w:marTop w:val="0"/>
      <w:marBottom w:val="0"/>
      <w:divBdr>
        <w:top w:val="none" w:sz="0" w:space="0" w:color="auto"/>
        <w:left w:val="none" w:sz="0" w:space="0" w:color="auto"/>
        <w:bottom w:val="none" w:sz="0" w:space="0" w:color="auto"/>
        <w:right w:val="none" w:sz="0" w:space="0" w:color="auto"/>
      </w:divBdr>
    </w:div>
    <w:div w:id="1066949150">
      <w:bodyDiv w:val="1"/>
      <w:marLeft w:val="0"/>
      <w:marRight w:val="0"/>
      <w:marTop w:val="0"/>
      <w:marBottom w:val="0"/>
      <w:divBdr>
        <w:top w:val="none" w:sz="0" w:space="0" w:color="auto"/>
        <w:left w:val="none" w:sz="0" w:space="0" w:color="auto"/>
        <w:bottom w:val="none" w:sz="0" w:space="0" w:color="auto"/>
        <w:right w:val="none" w:sz="0" w:space="0" w:color="auto"/>
      </w:divBdr>
    </w:div>
    <w:div w:id="1075397552">
      <w:bodyDiv w:val="1"/>
      <w:marLeft w:val="0"/>
      <w:marRight w:val="0"/>
      <w:marTop w:val="0"/>
      <w:marBottom w:val="0"/>
      <w:divBdr>
        <w:top w:val="none" w:sz="0" w:space="0" w:color="auto"/>
        <w:left w:val="none" w:sz="0" w:space="0" w:color="auto"/>
        <w:bottom w:val="none" w:sz="0" w:space="0" w:color="auto"/>
        <w:right w:val="none" w:sz="0" w:space="0" w:color="auto"/>
      </w:divBdr>
    </w:div>
    <w:div w:id="1077282912">
      <w:bodyDiv w:val="1"/>
      <w:marLeft w:val="0"/>
      <w:marRight w:val="0"/>
      <w:marTop w:val="0"/>
      <w:marBottom w:val="0"/>
      <w:divBdr>
        <w:top w:val="none" w:sz="0" w:space="0" w:color="auto"/>
        <w:left w:val="none" w:sz="0" w:space="0" w:color="auto"/>
        <w:bottom w:val="none" w:sz="0" w:space="0" w:color="auto"/>
        <w:right w:val="none" w:sz="0" w:space="0" w:color="auto"/>
      </w:divBdr>
    </w:div>
    <w:div w:id="1242106325">
      <w:bodyDiv w:val="1"/>
      <w:marLeft w:val="0"/>
      <w:marRight w:val="0"/>
      <w:marTop w:val="0"/>
      <w:marBottom w:val="0"/>
      <w:divBdr>
        <w:top w:val="none" w:sz="0" w:space="0" w:color="auto"/>
        <w:left w:val="none" w:sz="0" w:space="0" w:color="auto"/>
        <w:bottom w:val="none" w:sz="0" w:space="0" w:color="auto"/>
        <w:right w:val="none" w:sz="0" w:space="0" w:color="auto"/>
      </w:divBdr>
    </w:div>
    <w:div w:id="1266618359">
      <w:bodyDiv w:val="1"/>
      <w:marLeft w:val="0"/>
      <w:marRight w:val="0"/>
      <w:marTop w:val="0"/>
      <w:marBottom w:val="0"/>
      <w:divBdr>
        <w:top w:val="none" w:sz="0" w:space="0" w:color="auto"/>
        <w:left w:val="none" w:sz="0" w:space="0" w:color="auto"/>
        <w:bottom w:val="none" w:sz="0" w:space="0" w:color="auto"/>
        <w:right w:val="none" w:sz="0" w:space="0" w:color="auto"/>
      </w:divBdr>
    </w:div>
    <w:div w:id="1281692301">
      <w:bodyDiv w:val="1"/>
      <w:marLeft w:val="0"/>
      <w:marRight w:val="0"/>
      <w:marTop w:val="0"/>
      <w:marBottom w:val="0"/>
      <w:divBdr>
        <w:top w:val="none" w:sz="0" w:space="0" w:color="auto"/>
        <w:left w:val="none" w:sz="0" w:space="0" w:color="auto"/>
        <w:bottom w:val="none" w:sz="0" w:space="0" w:color="auto"/>
        <w:right w:val="none" w:sz="0" w:space="0" w:color="auto"/>
      </w:divBdr>
    </w:div>
    <w:div w:id="1292397239">
      <w:bodyDiv w:val="1"/>
      <w:marLeft w:val="0"/>
      <w:marRight w:val="0"/>
      <w:marTop w:val="0"/>
      <w:marBottom w:val="0"/>
      <w:divBdr>
        <w:top w:val="none" w:sz="0" w:space="0" w:color="auto"/>
        <w:left w:val="none" w:sz="0" w:space="0" w:color="auto"/>
        <w:bottom w:val="none" w:sz="0" w:space="0" w:color="auto"/>
        <w:right w:val="none" w:sz="0" w:space="0" w:color="auto"/>
      </w:divBdr>
    </w:div>
    <w:div w:id="1298337781">
      <w:bodyDiv w:val="1"/>
      <w:marLeft w:val="0"/>
      <w:marRight w:val="0"/>
      <w:marTop w:val="0"/>
      <w:marBottom w:val="0"/>
      <w:divBdr>
        <w:top w:val="none" w:sz="0" w:space="0" w:color="auto"/>
        <w:left w:val="none" w:sz="0" w:space="0" w:color="auto"/>
        <w:bottom w:val="none" w:sz="0" w:space="0" w:color="auto"/>
        <w:right w:val="none" w:sz="0" w:space="0" w:color="auto"/>
      </w:divBdr>
    </w:div>
    <w:div w:id="1351226164">
      <w:bodyDiv w:val="1"/>
      <w:marLeft w:val="0"/>
      <w:marRight w:val="0"/>
      <w:marTop w:val="0"/>
      <w:marBottom w:val="0"/>
      <w:divBdr>
        <w:top w:val="none" w:sz="0" w:space="0" w:color="auto"/>
        <w:left w:val="none" w:sz="0" w:space="0" w:color="auto"/>
        <w:bottom w:val="none" w:sz="0" w:space="0" w:color="auto"/>
        <w:right w:val="none" w:sz="0" w:space="0" w:color="auto"/>
      </w:divBdr>
    </w:div>
    <w:div w:id="1417943012">
      <w:bodyDiv w:val="1"/>
      <w:marLeft w:val="0"/>
      <w:marRight w:val="0"/>
      <w:marTop w:val="0"/>
      <w:marBottom w:val="0"/>
      <w:divBdr>
        <w:top w:val="none" w:sz="0" w:space="0" w:color="auto"/>
        <w:left w:val="none" w:sz="0" w:space="0" w:color="auto"/>
        <w:bottom w:val="none" w:sz="0" w:space="0" w:color="auto"/>
        <w:right w:val="none" w:sz="0" w:space="0" w:color="auto"/>
      </w:divBdr>
    </w:div>
    <w:div w:id="1465193666">
      <w:bodyDiv w:val="1"/>
      <w:marLeft w:val="0"/>
      <w:marRight w:val="0"/>
      <w:marTop w:val="0"/>
      <w:marBottom w:val="0"/>
      <w:divBdr>
        <w:top w:val="none" w:sz="0" w:space="0" w:color="auto"/>
        <w:left w:val="none" w:sz="0" w:space="0" w:color="auto"/>
        <w:bottom w:val="none" w:sz="0" w:space="0" w:color="auto"/>
        <w:right w:val="none" w:sz="0" w:space="0" w:color="auto"/>
      </w:divBdr>
    </w:div>
    <w:div w:id="1473714362">
      <w:bodyDiv w:val="1"/>
      <w:marLeft w:val="0"/>
      <w:marRight w:val="0"/>
      <w:marTop w:val="0"/>
      <w:marBottom w:val="0"/>
      <w:divBdr>
        <w:top w:val="none" w:sz="0" w:space="0" w:color="auto"/>
        <w:left w:val="none" w:sz="0" w:space="0" w:color="auto"/>
        <w:bottom w:val="none" w:sz="0" w:space="0" w:color="auto"/>
        <w:right w:val="none" w:sz="0" w:space="0" w:color="auto"/>
      </w:divBdr>
    </w:div>
    <w:div w:id="1482849590">
      <w:bodyDiv w:val="1"/>
      <w:marLeft w:val="0"/>
      <w:marRight w:val="0"/>
      <w:marTop w:val="0"/>
      <w:marBottom w:val="0"/>
      <w:divBdr>
        <w:top w:val="none" w:sz="0" w:space="0" w:color="auto"/>
        <w:left w:val="none" w:sz="0" w:space="0" w:color="auto"/>
        <w:bottom w:val="none" w:sz="0" w:space="0" w:color="auto"/>
        <w:right w:val="none" w:sz="0" w:space="0" w:color="auto"/>
      </w:divBdr>
    </w:div>
    <w:div w:id="1502967034">
      <w:bodyDiv w:val="1"/>
      <w:marLeft w:val="0"/>
      <w:marRight w:val="0"/>
      <w:marTop w:val="0"/>
      <w:marBottom w:val="0"/>
      <w:divBdr>
        <w:top w:val="none" w:sz="0" w:space="0" w:color="auto"/>
        <w:left w:val="none" w:sz="0" w:space="0" w:color="auto"/>
        <w:bottom w:val="none" w:sz="0" w:space="0" w:color="auto"/>
        <w:right w:val="none" w:sz="0" w:space="0" w:color="auto"/>
      </w:divBdr>
    </w:div>
    <w:div w:id="1529373645">
      <w:bodyDiv w:val="1"/>
      <w:marLeft w:val="0"/>
      <w:marRight w:val="0"/>
      <w:marTop w:val="0"/>
      <w:marBottom w:val="0"/>
      <w:divBdr>
        <w:top w:val="none" w:sz="0" w:space="0" w:color="auto"/>
        <w:left w:val="none" w:sz="0" w:space="0" w:color="auto"/>
        <w:bottom w:val="none" w:sz="0" w:space="0" w:color="auto"/>
        <w:right w:val="none" w:sz="0" w:space="0" w:color="auto"/>
      </w:divBdr>
    </w:div>
    <w:div w:id="1531525133">
      <w:bodyDiv w:val="1"/>
      <w:marLeft w:val="0"/>
      <w:marRight w:val="0"/>
      <w:marTop w:val="0"/>
      <w:marBottom w:val="0"/>
      <w:divBdr>
        <w:top w:val="none" w:sz="0" w:space="0" w:color="auto"/>
        <w:left w:val="none" w:sz="0" w:space="0" w:color="auto"/>
        <w:bottom w:val="none" w:sz="0" w:space="0" w:color="auto"/>
        <w:right w:val="none" w:sz="0" w:space="0" w:color="auto"/>
      </w:divBdr>
    </w:div>
    <w:div w:id="1567106423">
      <w:bodyDiv w:val="1"/>
      <w:marLeft w:val="0"/>
      <w:marRight w:val="0"/>
      <w:marTop w:val="0"/>
      <w:marBottom w:val="0"/>
      <w:divBdr>
        <w:top w:val="none" w:sz="0" w:space="0" w:color="auto"/>
        <w:left w:val="none" w:sz="0" w:space="0" w:color="auto"/>
        <w:bottom w:val="none" w:sz="0" w:space="0" w:color="auto"/>
        <w:right w:val="none" w:sz="0" w:space="0" w:color="auto"/>
      </w:divBdr>
    </w:div>
    <w:div w:id="1647318864">
      <w:bodyDiv w:val="1"/>
      <w:marLeft w:val="0"/>
      <w:marRight w:val="0"/>
      <w:marTop w:val="0"/>
      <w:marBottom w:val="0"/>
      <w:divBdr>
        <w:top w:val="none" w:sz="0" w:space="0" w:color="auto"/>
        <w:left w:val="none" w:sz="0" w:space="0" w:color="auto"/>
        <w:bottom w:val="none" w:sz="0" w:space="0" w:color="auto"/>
        <w:right w:val="none" w:sz="0" w:space="0" w:color="auto"/>
      </w:divBdr>
    </w:div>
    <w:div w:id="1689678575">
      <w:bodyDiv w:val="1"/>
      <w:marLeft w:val="0"/>
      <w:marRight w:val="0"/>
      <w:marTop w:val="0"/>
      <w:marBottom w:val="0"/>
      <w:divBdr>
        <w:top w:val="none" w:sz="0" w:space="0" w:color="auto"/>
        <w:left w:val="none" w:sz="0" w:space="0" w:color="auto"/>
        <w:bottom w:val="none" w:sz="0" w:space="0" w:color="auto"/>
        <w:right w:val="none" w:sz="0" w:space="0" w:color="auto"/>
      </w:divBdr>
    </w:div>
    <w:div w:id="1700007326">
      <w:bodyDiv w:val="1"/>
      <w:marLeft w:val="0"/>
      <w:marRight w:val="0"/>
      <w:marTop w:val="0"/>
      <w:marBottom w:val="0"/>
      <w:divBdr>
        <w:top w:val="none" w:sz="0" w:space="0" w:color="auto"/>
        <w:left w:val="none" w:sz="0" w:space="0" w:color="auto"/>
        <w:bottom w:val="none" w:sz="0" w:space="0" w:color="auto"/>
        <w:right w:val="none" w:sz="0" w:space="0" w:color="auto"/>
      </w:divBdr>
    </w:div>
    <w:div w:id="1718236697">
      <w:bodyDiv w:val="1"/>
      <w:marLeft w:val="0"/>
      <w:marRight w:val="0"/>
      <w:marTop w:val="0"/>
      <w:marBottom w:val="0"/>
      <w:divBdr>
        <w:top w:val="none" w:sz="0" w:space="0" w:color="auto"/>
        <w:left w:val="none" w:sz="0" w:space="0" w:color="auto"/>
        <w:bottom w:val="none" w:sz="0" w:space="0" w:color="auto"/>
        <w:right w:val="none" w:sz="0" w:space="0" w:color="auto"/>
      </w:divBdr>
    </w:div>
    <w:div w:id="1740401949">
      <w:bodyDiv w:val="1"/>
      <w:marLeft w:val="0"/>
      <w:marRight w:val="0"/>
      <w:marTop w:val="0"/>
      <w:marBottom w:val="0"/>
      <w:divBdr>
        <w:top w:val="none" w:sz="0" w:space="0" w:color="auto"/>
        <w:left w:val="none" w:sz="0" w:space="0" w:color="auto"/>
        <w:bottom w:val="none" w:sz="0" w:space="0" w:color="auto"/>
        <w:right w:val="none" w:sz="0" w:space="0" w:color="auto"/>
      </w:divBdr>
    </w:div>
    <w:div w:id="1782526721">
      <w:bodyDiv w:val="1"/>
      <w:marLeft w:val="0"/>
      <w:marRight w:val="0"/>
      <w:marTop w:val="0"/>
      <w:marBottom w:val="0"/>
      <w:divBdr>
        <w:top w:val="none" w:sz="0" w:space="0" w:color="auto"/>
        <w:left w:val="none" w:sz="0" w:space="0" w:color="auto"/>
        <w:bottom w:val="none" w:sz="0" w:space="0" w:color="auto"/>
        <w:right w:val="none" w:sz="0" w:space="0" w:color="auto"/>
      </w:divBdr>
    </w:div>
    <w:div w:id="1786577098">
      <w:bodyDiv w:val="1"/>
      <w:marLeft w:val="0"/>
      <w:marRight w:val="0"/>
      <w:marTop w:val="0"/>
      <w:marBottom w:val="0"/>
      <w:divBdr>
        <w:top w:val="none" w:sz="0" w:space="0" w:color="auto"/>
        <w:left w:val="none" w:sz="0" w:space="0" w:color="auto"/>
        <w:bottom w:val="none" w:sz="0" w:space="0" w:color="auto"/>
        <w:right w:val="none" w:sz="0" w:space="0" w:color="auto"/>
      </w:divBdr>
    </w:div>
    <w:div w:id="1792163561">
      <w:bodyDiv w:val="1"/>
      <w:marLeft w:val="0"/>
      <w:marRight w:val="0"/>
      <w:marTop w:val="0"/>
      <w:marBottom w:val="0"/>
      <w:divBdr>
        <w:top w:val="none" w:sz="0" w:space="0" w:color="auto"/>
        <w:left w:val="none" w:sz="0" w:space="0" w:color="auto"/>
        <w:bottom w:val="none" w:sz="0" w:space="0" w:color="auto"/>
        <w:right w:val="none" w:sz="0" w:space="0" w:color="auto"/>
      </w:divBdr>
    </w:div>
    <w:div w:id="1794707414">
      <w:bodyDiv w:val="1"/>
      <w:marLeft w:val="0"/>
      <w:marRight w:val="0"/>
      <w:marTop w:val="0"/>
      <w:marBottom w:val="0"/>
      <w:divBdr>
        <w:top w:val="none" w:sz="0" w:space="0" w:color="auto"/>
        <w:left w:val="none" w:sz="0" w:space="0" w:color="auto"/>
        <w:bottom w:val="none" w:sz="0" w:space="0" w:color="auto"/>
        <w:right w:val="none" w:sz="0" w:space="0" w:color="auto"/>
      </w:divBdr>
    </w:div>
    <w:div w:id="1800222667">
      <w:bodyDiv w:val="1"/>
      <w:marLeft w:val="0"/>
      <w:marRight w:val="0"/>
      <w:marTop w:val="0"/>
      <w:marBottom w:val="0"/>
      <w:divBdr>
        <w:top w:val="none" w:sz="0" w:space="0" w:color="auto"/>
        <w:left w:val="none" w:sz="0" w:space="0" w:color="auto"/>
        <w:bottom w:val="none" w:sz="0" w:space="0" w:color="auto"/>
        <w:right w:val="none" w:sz="0" w:space="0" w:color="auto"/>
      </w:divBdr>
    </w:div>
    <w:div w:id="1858353070">
      <w:bodyDiv w:val="1"/>
      <w:marLeft w:val="0"/>
      <w:marRight w:val="0"/>
      <w:marTop w:val="0"/>
      <w:marBottom w:val="0"/>
      <w:divBdr>
        <w:top w:val="none" w:sz="0" w:space="0" w:color="auto"/>
        <w:left w:val="none" w:sz="0" w:space="0" w:color="auto"/>
        <w:bottom w:val="none" w:sz="0" w:space="0" w:color="auto"/>
        <w:right w:val="none" w:sz="0" w:space="0" w:color="auto"/>
      </w:divBdr>
    </w:div>
    <w:div w:id="1871841018">
      <w:bodyDiv w:val="1"/>
      <w:marLeft w:val="0"/>
      <w:marRight w:val="0"/>
      <w:marTop w:val="0"/>
      <w:marBottom w:val="0"/>
      <w:divBdr>
        <w:top w:val="none" w:sz="0" w:space="0" w:color="auto"/>
        <w:left w:val="none" w:sz="0" w:space="0" w:color="auto"/>
        <w:bottom w:val="none" w:sz="0" w:space="0" w:color="auto"/>
        <w:right w:val="none" w:sz="0" w:space="0" w:color="auto"/>
      </w:divBdr>
    </w:div>
    <w:div w:id="1940094750">
      <w:bodyDiv w:val="1"/>
      <w:marLeft w:val="0"/>
      <w:marRight w:val="0"/>
      <w:marTop w:val="0"/>
      <w:marBottom w:val="0"/>
      <w:divBdr>
        <w:top w:val="none" w:sz="0" w:space="0" w:color="auto"/>
        <w:left w:val="none" w:sz="0" w:space="0" w:color="auto"/>
        <w:bottom w:val="none" w:sz="0" w:space="0" w:color="auto"/>
        <w:right w:val="none" w:sz="0" w:space="0" w:color="auto"/>
      </w:divBdr>
      <w:divsChild>
        <w:div w:id="12344369">
          <w:marLeft w:val="0"/>
          <w:marRight w:val="0"/>
          <w:marTop w:val="0"/>
          <w:marBottom w:val="0"/>
          <w:divBdr>
            <w:top w:val="none" w:sz="0" w:space="0" w:color="auto"/>
            <w:left w:val="none" w:sz="0" w:space="0" w:color="auto"/>
            <w:bottom w:val="none" w:sz="0" w:space="0" w:color="auto"/>
            <w:right w:val="none" w:sz="0" w:space="0" w:color="auto"/>
          </w:divBdr>
        </w:div>
        <w:div w:id="558253041">
          <w:marLeft w:val="0"/>
          <w:marRight w:val="0"/>
          <w:marTop w:val="0"/>
          <w:marBottom w:val="0"/>
          <w:divBdr>
            <w:top w:val="none" w:sz="0" w:space="0" w:color="auto"/>
            <w:left w:val="none" w:sz="0" w:space="0" w:color="auto"/>
            <w:bottom w:val="none" w:sz="0" w:space="0" w:color="auto"/>
            <w:right w:val="none" w:sz="0" w:space="0" w:color="auto"/>
          </w:divBdr>
        </w:div>
        <w:div w:id="790900196">
          <w:marLeft w:val="0"/>
          <w:marRight w:val="0"/>
          <w:marTop w:val="0"/>
          <w:marBottom w:val="0"/>
          <w:divBdr>
            <w:top w:val="none" w:sz="0" w:space="0" w:color="auto"/>
            <w:left w:val="none" w:sz="0" w:space="0" w:color="auto"/>
            <w:bottom w:val="none" w:sz="0" w:space="0" w:color="auto"/>
            <w:right w:val="none" w:sz="0" w:space="0" w:color="auto"/>
          </w:divBdr>
        </w:div>
        <w:div w:id="1959411025">
          <w:marLeft w:val="0"/>
          <w:marRight w:val="0"/>
          <w:marTop w:val="0"/>
          <w:marBottom w:val="0"/>
          <w:divBdr>
            <w:top w:val="none" w:sz="0" w:space="0" w:color="auto"/>
            <w:left w:val="none" w:sz="0" w:space="0" w:color="auto"/>
            <w:bottom w:val="none" w:sz="0" w:space="0" w:color="auto"/>
            <w:right w:val="none" w:sz="0" w:space="0" w:color="auto"/>
          </w:divBdr>
        </w:div>
        <w:div w:id="2034187014">
          <w:marLeft w:val="0"/>
          <w:marRight w:val="0"/>
          <w:marTop w:val="0"/>
          <w:marBottom w:val="0"/>
          <w:divBdr>
            <w:top w:val="none" w:sz="0" w:space="0" w:color="auto"/>
            <w:left w:val="none" w:sz="0" w:space="0" w:color="auto"/>
            <w:bottom w:val="none" w:sz="0" w:space="0" w:color="auto"/>
            <w:right w:val="none" w:sz="0" w:space="0" w:color="auto"/>
          </w:divBdr>
        </w:div>
      </w:divsChild>
    </w:div>
    <w:div w:id="1960256145">
      <w:bodyDiv w:val="1"/>
      <w:marLeft w:val="0"/>
      <w:marRight w:val="0"/>
      <w:marTop w:val="0"/>
      <w:marBottom w:val="0"/>
      <w:divBdr>
        <w:top w:val="none" w:sz="0" w:space="0" w:color="auto"/>
        <w:left w:val="none" w:sz="0" w:space="0" w:color="auto"/>
        <w:bottom w:val="none" w:sz="0" w:space="0" w:color="auto"/>
        <w:right w:val="none" w:sz="0" w:space="0" w:color="auto"/>
      </w:divBdr>
    </w:div>
    <w:div w:id="1977907056">
      <w:bodyDiv w:val="1"/>
      <w:marLeft w:val="0"/>
      <w:marRight w:val="0"/>
      <w:marTop w:val="0"/>
      <w:marBottom w:val="0"/>
      <w:divBdr>
        <w:top w:val="none" w:sz="0" w:space="0" w:color="auto"/>
        <w:left w:val="none" w:sz="0" w:space="0" w:color="auto"/>
        <w:bottom w:val="none" w:sz="0" w:space="0" w:color="auto"/>
        <w:right w:val="none" w:sz="0" w:space="0" w:color="auto"/>
      </w:divBdr>
    </w:div>
    <w:div w:id="2007593421">
      <w:bodyDiv w:val="1"/>
      <w:marLeft w:val="0"/>
      <w:marRight w:val="0"/>
      <w:marTop w:val="0"/>
      <w:marBottom w:val="0"/>
      <w:divBdr>
        <w:top w:val="none" w:sz="0" w:space="0" w:color="auto"/>
        <w:left w:val="none" w:sz="0" w:space="0" w:color="auto"/>
        <w:bottom w:val="none" w:sz="0" w:space="0" w:color="auto"/>
        <w:right w:val="none" w:sz="0" w:space="0" w:color="auto"/>
      </w:divBdr>
    </w:div>
    <w:div w:id="2073576405">
      <w:bodyDiv w:val="1"/>
      <w:marLeft w:val="0"/>
      <w:marRight w:val="0"/>
      <w:marTop w:val="0"/>
      <w:marBottom w:val="0"/>
      <w:divBdr>
        <w:top w:val="none" w:sz="0" w:space="0" w:color="auto"/>
        <w:left w:val="none" w:sz="0" w:space="0" w:color="auto"/>
        <w:bottom w:val="none" w:sz="0" w:space="0" w:color="auto"/>
        <w:right w:val="none" w:sz="0" w:space="0" w:color="auto"/>
      </w:divBdr>
    </w:div>
    <w:div w:id="2114279664">
      <w:bodyDiv w:val="1"/>
      <w:marLeft w:val="0"/>
      <w:marRight w:val="0"/>
      <w:marTop w:val="0"/>
      <w:marBottom w:val="0"/>
      <w:divBdr>
        <w:top w:val="none" w:sz="0" w:space="0" w:color="auto"/>
        <w:left w:val="none" w:sz="0" w:space="0" w:color="auto"/>
        <w:bottom w:val="none" w:sz="0" w:space="0" w:color="auto"/>
        <w:right w:val="none" w:sz="0" w:space="0" w:color="auto"/>
      </w:divBdr>
    </w:div>
    <w:div w:id="2145542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2B2464-627B-4F65-8B0E-ED0072989B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2189</Words>
  <Characters>12045</Characters>
  <Application>Microsoft Office Word</Application>
  <DocSecurity>4</DocSecurity>
  <Lines>100</Lines>
  <Paragraphs>28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Chapitre A - Arrêté du budget</vt:lpstr>
      <vt:lpstr>Chapitre A - Arrêté du budget</vt:lpstr>
    </vt:vector>
  </TitlesOfParts>
  <Company>**************************</Company>
  <LinksUpToDate>false</LinksUpToDate>
  <CharactersWithSpaces>14206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Chapitre A - Arrêté du budget</dc:title>
  <dc:subject/>
  <dc:creator>ifincbs</dc:creator>
  <cp:keywords/>
  <cp:lastModifiedBy>SYSTEM</cp:lastModifiedBy>
  <cp:revision>2</cp:revision>
  <cp:lastPrinted>2019-11-27T14:50:00Z</cp:lastPrinted>
  <dcterms:created xsi:type="dcterms:W3CDTF">2024-02-21T07:57:00Z</dcterms:created>
  <dcterms:modified xsi:type="dcterms:W3CDTF">2024-02-21T07:57:00Z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