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BF" w:rsidRPr="00D74CEF" w:rsidRDefault="000743B1" w:rsidP="000743B1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bookmarkStart w:id="0" w:name="_GoBack"/>
      <w:bookmarkEnd w:id="0"/>
      <w:r w:rsidRPr="00D74CEF">
        <w:rPr>
          <w:rFonts w:ascii="Arial" w:hAnsi="Arial" w:cs="Arial"/>
          <w:b/>
          <w:sz w:val="24"/>
          <w:szCs w:val="24"/>
          <w:u w:val="single"/>
          <w:lang w:val="fr-FR"/>
        </w:rPr>
        <w:t>5508</w:t>
      </w:r>
      <w:r w:rsidR="00164269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Pr="00D74CE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: </w:t>
      </w:r>
      <w:r w:rsidR="00F85421">
        <w:rPr>
          <w:rFonts w:ascii="Arial" w:hAnsi="Arial" w:cs="Arial"/>
          <w:b/>
          <w:sz w:val="24"/>
          <w:szCs w:val="24"/>
          <w:u w:val="single"/>
          <w:lang w:val="fr-FR"/>
        </w:rPr>
        <w:t>Résumé</w:t>
      </w:r>
    </w:p>
    <w:p w:rsidR="000743B1" w:rsidRPr="000743B1" w:rsidRDefault="000743B1" w:rsidP="000743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fr-FR" w:eastAsia="fr-FR"/>
        </w:rPr>
      </w:pPr>
    </w:p>
    <w:p w:rsidR="00164269" w:rsidRPr="00FD3ED2" w:rsidRDefault="000743B1" w:rsidP="000743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 w:eastAsia="fr-FR"/>
        </w:rPr>
      </w:pPr>
      <w:r w:rsidRPr="000743B1">
        <w:rPr>
          <w:rFonts w:ascii="Arial" w:hAnsi="Arial" w:cs="Arial"/>
          <w:sz w:val="24"/>
          <w:szCs w:val="24"/>
          <w:lang w:val="fr-FR" w:eastAsia="fr-FR"/>
        </w:rPr>
        <w:t>La loi modifiée du 17 juin 1994 relative à la prévention et à la gestion des déchets détermine les</w:t>
      </w:r>
      <w:r>
        <w:rPr>
          <w:rFonts w:ascii="Arial" w:hAnsi="Arial" w:cs="Arial"/>
          <w:sz w:val="24"/>
          <w:szCs w:val="24"/>
          <w:lang w:val="fr-FR" w:eastAsia="fr-FR"/>
        </w:rPr>
        <w:t xml:space="preserve"> </w:t>
      </w:r>
      <w:r w:rsidRPr="000743B1">
        <w:rPr>
          <w:rFonts w:ascii="Arial" w:hAnsi="Arial" w:cs="Arial"/>
          <w:sz w:val="24"/>
          <w:szCs w:val="24"/>
          <w:lang w:val="fr-FR" w:eastAsia="fr-FR"/>
        </w:rPr>
        <w:t xml:space="preserve">objectifs inhérents à la gestion des déchets, précise les 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principes directeurs d’une telle gestion et réglemente les modalités de gestion des déchets.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C’est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la transposition en droit national de la directive modifiée 75/442/CEE relative aux déchets.</w:t>
      </w:r>
      <w:r w:rsidR="00D74CEF" w:rsidRPr="00FD3ED2">
        <w:rPr>
          <w:rFonts w:ascii="Arial" w:hAnsi="Arial" w:cs="Arial"/>
          <w:sz w:val="24"/>
          <w:szCs w:val="24"/>
          <w:lang w:val="fr-FR" w:eastAsia="fr-FR"/>
        </w:rPr>
        <w:t xml:space="preserve"> </w:t>
      </w:r>
    </w:p>
    <w:p w:rsidR="00164269" w:rsidRPr="00FD3ED2" w:rsidRDefault="000743B1" w:rsidP="000743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 w:eastAsia="fr-FR"/>
        </w:rPr>
      </w:pP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Les adaptations à apporter à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cette loi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n’ont pas pour objectif d’en modifier le champ d’application. Il s’agit p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lutôt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de préciser la législation existante sur des points déterminés.</w:t>
      </w:r>
      <w:r w:rsidR="00D74CEF" w:rsidRPr="00FD3ED2">
        <w:rPr>
          <w:rFonts w:ascii="Arial" w:hAnsi="Arial" w:cs="Arial"/>
          <w:sz w:val="24"/>
          <w:szCs w:val="24"/>
          <w:lang w:val="fr-FR" w:eastAsia="fr-FR"/>
        </w:rPr>
        <w:t xml:space="preserve">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Ainsi,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le pro</w:t>
      </w:r>
      <w:r w:rsidR="00916044" w:rsidRPr="00FD3ED2">
        <w:rPr>
          <w:rFonts w:ascii="Arial" w:hAnsi="Arial" w:cs="Arial"/>
          <w:sz w:val="24"/>
          <w:szCs w:val="24"/>
          <w:lang w:val="fr-FR" w:eastAsia="fr-FR"/>
        </w:rPr>
        <w:t xml:space="preserve">jet de loi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5508 :</w:t>
      </w:r>
    </w:p>
    <w:p w:rsidR="00FD3ED2" w:rsidRPr="00FD3ED2" w:rsidRDefault="00FD3ED2" w:rsidP="000743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 w:eastAsia="fr-FR"/>
        </w:rPr>
      </w:pP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>remplace les cas de dispense d’une autorisation par un enregistrement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 xml:space="preserve">précise les modalités de gestion des déchets relevant de l’action </w:t>
      </w:r>
      <w:proofErr w:type="spellStart"/>
      <w:r w:rsidRPr="00FD3ED2">
        <w:rPr>
          <w:rFonts w:ascii="Arial" w:hAnsi="Arial" w:cs="Arial"/>
          <w:sz w:val="24"/>
          <w:szCs w:val="24"/>
          <w:lang w:val="fr-FR"/>
        </w:rPr>
        <w:t>SuperDrecksKëscht</w:t>
      </w:r>
      <w:proofErr w:type="spellEnd"/>
      <w:r w:rsidRPr="00FD3ED2">
        <w:rPr>
          <w:rFonts w:ascii="Arial" w:hAnsi="Arial" w:cs="Arial"/>
          <w:sz w:val="24"/>
          <w:szCs w:val="24"/>
          <w:lang w:val="fr-FR"/>
        </w:rPr>
        <w:t>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>précise la mise en place d’un réseau de centres régionaux pour la gestion de déchets inertes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>précise les personnes chargées de la poursuite et de la constatation des infractions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D3ED2">
        <w:rPr>
          <w:rFonts w:ascii="Arial" w:hAnsi="Arial" w:cs="Arial"/>
          <w:sz w:val="24"/>
          <w:szCs w:val="24"/>
        </w:rPr>
        <w:t>introduit</w:t>
      </w:r>
      <w:proofErr w:type="spellEnd"/>
      <w:r w:rsidRPr="00FD3ED2">
        <w:rPr>
          <w:rFonts w:ascii="Arial" w:hAnsi="Arial" w:cs="Arial"/>
          <w:sz w:val="24"/>
          <w:szCs w:val="24"/>
        </w:rPr>
        <w:t xml:space="preserve"> des sanctions </w:t>
      </w:r>
      <w:proofErr w:type="spellStart"/>
      <w:r w:rsidRPr="00FD3ED2">
        <w:rPr>
          <w:rFonts w:ascii="Arial" w:hAnsi="Arial" w:cs="Arial"/>
          <w:sz w:val="24"/>
          <w:szCs w:val="24"/>
        </w:rPr>
        <w:t>administratives</w:t>
      </w:r>
      <w:proofErr w:type="spellEnd"/>
      <w:r w:rsidRPr="00FD3ED2">
        <w:rPr>
          <w:rFonts w:ascii="Arial" w:hAnsi="Arial" w:cs="Arial"/>
          <w:sz w:val="24"/>
          <w:szCs w:val="24"/>
        </w:rPr>
        <w:t>;</w:t>
      </w:r>
    </w:p>
    <w:p w:rsidR="00FD3ED2" w:rsidRPr="00FD3ED2" w:rsidRDefault="000743B1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 w:eastAsia="fr-FR"/>
        </w:rPr>
        <w:t>harmonise la notion de déchets inertes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 ;</w:t>
      </w:r>
    </w:p>
    <w:p w:rsidR="000743B1" w:rsidRPr="00FD3ED2" w:rsidRDefault="000743B1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 w:eastAsia="fr-FR"/>
        </w:rPr>
        <w:t>prévoit que des règlements grand-ducaux déterminent le</w:t>
      </w:r>
      <w:r w:rsidR="00FD3ED2" w:rsidRPr="00FD3ED2">
        <w:rPr>
          <w:rFonts w:ascii="Arial" w:hAnsi="Arial" w:cs="Arial"/>
          <w:sz w:val="24"/>
          <w:szCs w:val="24"/>
          <w:lang w:val="fr-FR" w:eastAsia="fr-FR"/>
        </w:rPr>
        <w:t xml:space="preserve">s obligations des producteurs </w:t>
      </w:r>
      <w:r w:rsidRPr="00FD3ED2">
        <w:rPr>
          <w:rFonts w:ascii="Arial" w:hAnsi="Arial" w:cs="Arial"/>
          <w:sz w:val="24"/>
          <w:szCs w:val="24"/>
          <w:lang w:val="fr-FR" w:eastAsia="fr-FR"/>
        </w:rPr>
        <w:t>ou détenteurs, des importateurs ou des distributeurs pour ce qui est de la gestion des déchets, alors qu’ils assurent la production et la commercialisation des produits générateurs desdits déchets.</w:t>
      </w:r>
    </w:p>
    <w:p w:rsidR="00E455BF" w:rsidRPr="00D74CEF" w:rsidRDefault="00E455BF" w:rsidP="000743B1">
      <w:pPr>
        <w:jc w:val="both"/>
        <w:rPr>
          <w:rFonts w:ascii="Arial" w:hAnsi="Arial" w:cs="Arial"/>
          <w:sz w:val="24"/>
          <w:szCs w:val="24"/>
          <w:lang w:val="fr-FR"/>
        </w:rPr>
      </w:pPr>
    </w:p>
    <w:sectPr w:rsidR="00E455BF" w:rsidRPr="00D74CEF">
      <w:pgSz w:w="12240" w:h="15840"/>
      <w:pgMar w:top="1440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1204">
      <w:r>
        <w:separator/>
      </w:r>
    </w:p>
  </w:endnote>
  <w:endnote w:type="continuationSeparator" w:id="0">
    <w:p w:rsidR="00000000" w:rsidRDefault="001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1204">
      <w:r>
        <w:separator/>
      </w:r>
    </w:p>
  </w:footnote>
  <w:footnote w:type="continuationSeparator" w:id="0">
    <w:p w:rsidR="00000000" w:rsidRDefault="0019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B36E2"/>
    <w:multiLevelType w:val="hybridMultilevel"/>
    <w:tmpl w:val="6ABE888C"/>
    <w:lvl w:ilvl="0" w:tplc="9724B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29C"/>
    <w:rsid w:val="000668A8"/>
    <w:rsid w:val="000743B1"/>
    <w:rsid w:val="00164269"/>
    <w:rsid w:val="00191204"/>
    <w:rsid w:val="00275396"/>
    <w:rsid w:val="002E1D5E"/>
    <w:rsid w:val="003411E6"/>
    <w:rsid w:val="00341DA2"/>
    <w:rsid w:val="00344160"/>
    <w:rsid w:val="003D65FB"/>
    <w:rsid w:val="00916044"/>
    <w:rsid w:val="00917E4B"/>
    <w:rsid w:val="00976F88"/>
    <w:rsid w:val="00D74CEF"/>
    <w:rsid w:val="00E0702D"/>
    <w:rsid w:val="00E455BF"/>
    <w:rsid w:val="00F5129C"/>
    <w:rsid w:val="00F85421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DFB43D-6832-4EF6-A89E-49F911F2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fr-LU"/>
    </w:rPr>
  </w:style>
  <w:style w:type="paragraph" w:styleId="Titre2">
    <w:name w:val="heading 2"/>
    <w:basedOn w:val="Normal"/>
    <w:next w:val="Normal"/>
    <w:qFormat/>
    <w:pPr>
      <w:keepNext/>
      <w:ind w:left="270" w:hanging="270"/>
      <w:jc w:val="center"/>
      <w:outlineLvl w:val="1"/>
    </w:pPr>
    <w:rPr>
      <w:rFonts w:ascii="Arial" w:hAnsi="Arial"/>
      <w:b/>
      <w:bCs/>
      <w:sz w:val="22"/>
      <w:lang w:val="fr-LU"/>
    </w:rPr>
  </w:style>
  <w:style w:type="paragraph" w:styleId="Titre5">
    <w:name w:val="heading 5"/>
    <w:basedOn w:val="Normal"/>
    <w:next w:val="Normal"/>
    <w:qFormat/>
    <w:rsid w:val="0006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Arial" w:hAnsi="Arial"/>
      <w:i/>
      <w:sz w:val="22"/>
      <w:lang w:val="fr-LU"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/>
      <w:sz w:val="22"/>
      <w:lang w:val="fr-LU"/>
    </w:rPr>
  </w:style>
  <w:style w:type="paragraph" w:styleId="Retraitcorpsdetexte2">
    <w:name w:val="Body Text Indent 2"/>
    <w:basedOn w:val="Normal"/>
    <w:pPr>
      <w:ind w:left="720"/>
      <w:jc w:val="both"/>
    </w:pPr>
    <w:rPr>
      <w:rFonts w:ascii="Arial" w:hAnsi="Arial"/>
      <w:i/>
      <w:sz w:val="22"/>
      <w:lang w:val="fr-LU"/>
    </w:rPr>
  </w:style>
  <w:style w:type="paragraph" w:styleId="Corpsdetexte2">
    <w:name w:val="Body Text 2"/>
    <w:basedOn w:val="Normal"/>
    <w:pPr>
      <w:jc w:val="center"/>
    </w:pPr>
    <w:rPr>
      <w:rFonts w:ascii="Arial" w:hAnsi="Arial"/>
      <w:b/>
      <w:sz w:val="22"/>
      <w:lang w:val="fr-LU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rpsdetexte3">
    <w:name w:val="Body Text 3"/>
    <w:basedOn w:val="Normal"/>
    <w:pPr>
      <w:jc w:val="both"/>
    </w:pPr>
    <w:rPr>
      <w:i/>
      <w:lang w:val="fr-LU"/>
    </w:rPr>
  </w:style>
  <w:style w:type="paragraph" w:styleId="Retraitcorpsdetexte3">
    <w:name w:val="Body Text Indent 3"/>
    <w:basedOn w:val="Normal"/>
    <w:rsid w:val="000668A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Modifications proposées pour la loi du 17 juin 1994 relative à la prévention et à la gestion des déchets</vt:lpstr>
    </vt:vector>
  </TitlesOfParts>
  <Company>adenv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Modifications proposées pour la loi du 17 juin 1994 relative à la prévention et à la gestion des déchets</dc:title>
  <dc:subject/>
  <dc:creator>.</dc:creator>
  <cp:keywords/>
  <cp:lastModifiedBy>SYSTEM</cp:lastModifiedBy>
  <cp:revision>2</cp:revision>
  <cp:lastPrinted>2006-01-26T12:09:00Z</cp:lastPrinted>
  <dcterms:created xsi:type="dcterms:W3CDTF">2024-02-21T07:41:00Z</dcterms:created>
  <dcterms:modified xsi:type="dcterms:W3CDTF">2024-02-21T07:41:00Z</dcterms:modified>
</cp:coreProperties>
</file>