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C" w:rsidRDefault="00592DBC" w:rsidP="00592D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4619">
        <w:rPr>
          <w:b/>
          <w:sz w:val="28"/>
          <w:szCs w:val="28"/>
        </w:rPr>
        <w:t xml:space="preserve">N° </w:t>
      </w:r>
      <w:r w:rsidR="00CC2E25">
        <w:rPr>
          <w:b/>
          <w:sz w:val="28"/>
          <w:szCs w:val="28"/>
        </w:rPr>
        <w:t>7</w:t>
      </w:r>
      <w:r w:rsidR="003429C8">
        <w:rPr>
          <w:b/>
          <w:sz w:val="28"/>
          <w:szCs w:val="28"/>
        </w:rPr>
        <w:t>313</w:t>
      </w:r>
    </w:p>
    <w:p w:rsidR="00255463" w:rsidRDefault="00255463" w:rsidP="006C0DA4">
      <w:pPr>
        <w:jc w:val="center"/>
        <w:rPr>
          <w:b/>
          <w:sz w:val="28"/>
          <w:szCs w:val="28"/>
        </w:rPr>
      </w:pPr>
    </w:p>
    <w:p w:rsidR="00E6276E" w:rsidRPr="00AF0FA1" w:rsidRDefault="00E6276E" w:rsidP="00E6276E">
      <w:pPr>
        <w:pStyle w:val="Textebrut"/>
        <w:jc w:val="center"/>
        <w:rPr>
          <w:rFonts w:ascii="Arial" w:hAnsi="Arial" w:cs="Arial"/>
          <w:b/>
          <w:bCs/>
          <w:sz w:val="24"/>
          <w:szCs w:val="24"/>
        </w:rPr>
      </w:pPr>
      <w:r w:rsidRPr="00AF0FA1">
        <w:rPr>
          <w:rFonts w:ascii="Arial" w:hAnsi="Arial" w:cs="Arial"/>
          <w:b/>
          <w:bCs/>
          <w:sz w:val="24"/>
          <w:szCs w:val="24"/>
        </w:rPr>
        <w:t>Projet de loi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276E" w:rsidRPr="000D780F" w:rsidRDefault="00E6276E" w:rsidP="00E6276E">
      <w:pPr>
        <w:pStyle w:val="Textebrut"/>
        <w:rPr>
          <w:rFonts w:ascii="Arial" w:hAnsi="Arial" w:cs="Arial"/>
          <w:b/>
          <w:bCs/>
          <w:lang w:val="fr-LU"/>
        </w:rPr>
      </w:pP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  <w:r w:rsidRPr="000D780F">
        <w:rPr>
          <w:rFonts w:ascii="Arial" w:hAnsi="Arial" w:cs="Arial"/>
          <w:b/>
          <w:bCs/>
          <w:sz w:val="24"/>
          <w:szCs w:val="24"/>
          <w:lang w:val="fr-LU"/>
        </w:rPr>
        <w:t xml:space="preserve">portant approbation </w:t>
      </w: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  <w:r>
        <w:rPr>
          <w:rFonts w:ascii="Arial" w:hAnsi="Arial" w:cs="Arial"/>
          <w:b/>
          <w:bCs/>
          <w:sz w:val="24"/>
          <w:szCs w:val="24"/>
          <w:lang w:val="fr-LU"/>
        </w:rPr>
        <w:t xml:space="preserve">1° </w:t>
      </w:r>
      <w:r w:rsidRPr="000D780F">
        <w:rPr>
          <w:rFonts w:ascii="Arial" w:hAnsi="Arial" w:cs="Arial"/>
          <w:b/>
          <w:bCs/>
          <w:sz w:val="24"/>
          <w:szCs w:val="24"/>
          <w:lang w:val="fr-LU"/>
        </w:rPr>
        <w:t>de l’Accord entre le Gouvernement du Grand-Duché de Luxembourg et le Gouvernement de la République du Kazakhstan relatif à des services aériens, fait à Astana, le 21 mai 2015 ;</w:t>
      </w: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  <w:r>
        <w:rPr>
          <w:rFonts w:ascii="Arial" w:hAnsi="Arial" w:cs="Arial"/>
          <w:b/>
          <w:bCs/>
          <w:sz w:val="24"/>
          <w:szCs w:val="24"/>
          <w:lang w:val="fr-LU"/>
        </w:rPr>
        <w:t xml:space="preserve">2° </w:t>
      </w:r>
      <w:r w:rsidRPr="000D780F">
        <w:rPr>
          <w:rFonts w:ascii="Arial" w:hAnsi="Arial" w:cs="Arial"/>
          <w:b/>
          <w:bCs/>
          <w:sz w:val="24"/>
          <w:szCs w:val="24"/>
          <w:lang w:val="fr-LU"/>
        </w:rPr>
        <w:t xml:space="preserve">de l’Accord entre le Gouvernement du Grand-Duché de Luxembourg et le Gouvernement de la République d’Arménie relatif à des services aériens, fait à Luxembourg, le 8 décembre 2015 ; </w:t>
      </w: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  <w:r>
        <w:rPr>
          <w:rFonts w:ascii="Arial" w:hAnsi="Arial" w:cs="Arial"/>
          <w:b/>
          <w:bCs/>
          <w:sz w:val="24"/>
          <w:szCs w:val="24"/>
          <w:lang w:val="fr-LU"/>
        </w:rPr>
        <w:t xml:space="preserve">3° </w:t>
      </w:r>
      <w:r w:rsidRPr="000D780F">
        <w:rPr>
          <w:rFonts w:ascii="Arial" w:hAnsi="Arial" w:cs="Arial"/>
          <w:b/>
          <w:bCs/>
          <w:sz w:val="24"/>
          <w:szCs w:val="24"/>
          <w:lang w:val="fr-LU"/>
        </w:rPr>
        <w:t xml:space="preserve">de l’Accord entre le Gouvernement du Grand-Duché de Luxembourg et le Gouvernement de la République du Cameroun relatif au transport aérien, fait à Luxembourg, le 26 janvier 2016 ; </w:t>
      </w: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  <w:r>
        <w:rPr>
          <w:rFonts w:ascii="Arial" w:hAnsi="Arial" w:cs="Arial"/>
          <w:b/>
          <w:bCs/>
          <w:sz w:val="24"/>
          <w:szCs w:val="24"/>
          <w:lang w:val="fr-LU"/>
        </w:rPr>
        <w:t xml:space="preserve">4° </w:t>
      </w:r>
      <w:r w:rsidRPr="000D780F">
        <w:rPr>
          <w:rFonts w:ascii="Arial" w:hAnsi="Arial" w:cs="Arial"/>
          <w:b/>
          <w:bCs/>
          <w:sz w:val="24"/>
          <w:szCs w:val="24"/>
          <w:lang w:val="fr-LU"/>
        </w:rPr>
        <w:t>de l’Accord entre le Gouvernement du Grand-Duché de Luxembourg et le Gouvernement de la République de Côte d’Ivoire relatif au transport aérien, fait à Luxembourg, le 4 février 2016 ;</w:t>
      </w: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  <w:r>
        <w:rPr>
          <w:rFonts w:ascii="Arial" w:hAnsi="Arial" w:cs="Arial"/>
          <w:b/>
          <w:bCs/>
          <w:sz w:val="24"/>
          <w:szCs w:val="24"/>
          <w:lang w:val="fr-LU"/>
        </w:rPr>
        <w:t xml:space="preserve">5° </w:t>
      </w:r>
      <w:r w:rsidRPr="000D780F">
        <w:rPr>
          <w:rFonts w:ascii="Arial" w:hAnsi="Arial" w:cs="Arial"/>
          <w:b/>
          <w:bCs/>
          <w:sz w:val="24"/>
          <w:szCs w:val="24"/>
          <w:lang w:val="fr-LU"/>
        </w:rPr>
        <w:t>de l’“Agreement between the Government of the Grand Duchy of Luxembourg and the Government of the Republic of Zambia on air services”, fait à Luxembourg, le 29 février 2016</w:t>
      </w: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  <w:r>
        <w:rPr>
          <w:rFonts w:ascii="Arial" w:hAnsi="Arial" w:cs="Arial"/>
          <w:b/>
          <w:bCs/>
          <w:sz w:val="24"/>
          <w:szCs w:val="24"/>
          <w:lang w:val="fr-LU"/>
        </w:rPr>
        <w:t xml:space="preserve">6° </w:t>
      </w:r>
      <w:r w:rsidRPr="000D780F">
        <w:rPr>
          <w:rFonts w:ascii="Arial" w:hAnsi="Arial" w:cs="Arial"/>
          <w:b/>
          <w:bCs/>
          <w:sz w:val="24"/>
          <w:szCs w:val="24"/>
          <w:lang w:val="fr-LU"/>
        </w:rPr>
        <w:t>de l’Accord entre le Gouvernement du Grand-Duché de Luxembourg et le Gouvernement du Turkménistan relatif à des services aériens, fait à Ashgabat, le 6 septembre 2016 ;</w:t>
      </w: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  <w:r>
        <w:rPr>
          <w:rFonts w:ascii="Arial" w:hAnsi="Arial" w:cs="Arial"/>
          <w:b/>
          <w:bCs/>
          <w:sz w:val="24"/>
          <w:szCs w:val="24"/>
          <w:lang w:val="fr-LU"/>
        </w:rPr>
        <w:t xml:space="preserve">7° </w:t>
      </w:r>
      <w:r w:rsidRPr="000D780F">
        <w:rPr>
          <w:rFonts w:ascii="Arial" w:hAnsi="Arial" w:cs="Arial"/>
          <w:b/>
          <w:bCs/>
          <w:sz w:val="24"/>
          <w:szCs w:val="24"/>
          <w:lang w:val="fr-LU"/>
        </w:rPr>
        <w:t>de l’Accord entre le Gouvernement du Grand-Duché de Luxembourg et le Gouvernement de la Mongolie relatif à des services aériens, fait à Leipzig, le 1er juin 2017 ;</w:t>
      </w: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  <w:r>
        <w:rPr>
          <w:rFonts w:ascii="Arial" w:hAnsi="Arial" w:cs="Arial"/>
          <w:b/>
          <w:bCs/>
          <w:sz w:val="24"/>
          <w:szCs w:val="24"/>
          <w:lang w:val="fr-LU"/>
        </w:rPr>
        <w:t xml:space="preserve">8° </w:t>
      </w:r>
      <w:r w:rsidRPr="000D780F">
        <w:rPr>
          <w:rFonts w:ascii="Arial" w:hAnsi="Arial" w:cs="Arial"/>
          <w:b/>
          <w:bCs/>
          <w:sz w:val="24"/>
          <w:szCs w:val="24"/>
          <w:lang w:val="fr-LU"/>
        </w:rPr>
        <w:t xml:space="preserve">de l’Accord entre le Gouvernement du Grand-Duché de Luxembourg et le Gouvernement de la République de Colombie relatif à des services aériens, fait à New York, le 22 septembre 2017 ; </w:t>
      </w:r>
    </w:p>
    <w:p w:rsidR="00E6276E" w:rsidRPr="000D780F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</w:p>
    <w:p w:rsidR="00E6276E" w:rsidRDefault="00E6276E" w:rsidP="00E6276E">
      <w:pPr>
        <w:pStyle w:val="Textebrut"/>
        <w:rPr>
          <w:rFonts w:ascii="Arial" w:hAnsi="Arial" w:cs="Arial"/>
          <w:b/>
          <w:bCs/>
          <w:sz w:val="24"/>
          <w:szCs w:val="24"/>
          <w:lang w:val="fr-LU"/>
        </w:rPr>
      </w:pPr>
      <w:r>
        <w:rPr>
          <w:rFonts w:ascii="Arial" w:hAnsi="Arial" w:cs="Arial"/>
          <w:b/>
          <w:bCs/>
          <w:sz w:val="24"/>
          <w:szCs w:val="24"/>
          <w:lang w:val="fr-LU"/>
        </w:rPr>
        <w:t>9</w:t>
      </w:r>
      <w:r w:rsidRPr="000D780F">
        <w:rPr>
          <w:rFonts w:ascii="Arial" w:hAnsi="Arial" w:cs="Arial"/>
          <w:b/>
          <w:bCs/>
          <w:sz w:val="24"/>
          <w:szCs w:val="24"/>
          <w:lang w:val="fr-LU"/>
        </w:rPr>
        <w:t xml:space="preserve">° de l’Accord entre le Gouvernement du Grand-Duché de Luxembourg et le Gouvernement de la République du Niger relatif au transport aérien, fait à Niamey, le 8 février 2018 ; </w:t>
      </w:r>
    </w:p>
    <w:p w:rsidR="003332DC" w:rsidRPr="00F544DF" w:rsidRDefault="003332DC" w:rsidP="003332DC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:rsidR="003332DC" w:rsidRPr="002F7602" w:rsidRDefault="003332DC" w:rsidP="003332DC">
      <w:pPr>
        <w:pStyle w:val="Textebrut"/>
        <w:jc w:val="center"/>
        <w:rPr>
          <w:rFonts w:ascii="Arial" w:hAnsi="Arial" w:cs="Arial"/>
          <w:b/>
          <w:sz w:val="24"/>
          <w:szCs w:val="24"/>
          <w:lang w:val="fr-LU"/>
        </w:rPr>
      </w:pPr>
      <w:r>
        <w:rPr>
          <w:rFonts w:ascii="Arial" w:hAnsi="Arial" w:cs="Arial"/>
          <w:b/>
          <w:sz w:val="24"/>
          <w:szCs w:val="24"/>
          <w:lang w:val="fr-LU"/>
        </w:rPr>
        <w:t>___________________________________________________________________</w:t>
      </w:r>
    </w:p>
    <w:p w:rsidR="006C0DA4" w:rsidRDefault="006C0DA4" w:rsidP="006C0DA4">
      <w:pPr>
        <w:jc w:val="both"/>
      </w:pPr>
    </w:p>
    <w:p w:rsidR="00255463" w:rsidRPr="00E96A04" w:rsidRDefault="00255463" w:rsidP="00255463">
      <w:pPr>
        <w:jc w:val="center"/>
        <w:rPr>
          <w:b/>
          <w:sz w:val="28"/>
          <w:szCs w:val="28"/>
          <w:u w:val="single"/>
        </w:rPr>
      </w:pPr>
      <w:r w:rsidRPr="00E96A04">
        <w:rPr>
          <w:b/>
          <w:sz w:val="28"/>
          <w:szCs w:val="28"/>
          <w:u w:val="single"/>
        </w:rPr>
        <w:t>Résumé</w:t>
      </w:r>
    </w:p>
    <w:p w:rsidR="006C0DA4" w:rsidRPr="00C01BFF" w:rsidRDefault="006C0DA4" w:rsidP="006C0DA4">
      <w:pPr>
        <w:jc w:val="both"/>
        <w:rPr>
          <w:sz w:val="22"/>
          <w:szCs w:val="22"/>
        </w:rPr>
      </w:pPr>
    </w:p>
    <w:p w:rsidR="00E6276E" w:rsidRDefault="00E6276E" w:rsidP="00E6276E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  <w:r w:rsidRPr="00DF3C24">
        <w:rPr>
          <w:rFonts w:ascii="Arial" w:hAnsi="Arial" w:cs="Arial"/>
          <w:sz w:val="22"/>
          <w:szCs w:val="22"/>
        </w:rPr>
        <w:t xml:space="preserve">Le projet de loi </w:t>
      </w:r>
      <w:r>
        <w:rPr>
          <w:rFonts w:ascii="Arial" w:hAnsi="Arial" w:cs="Arial"/>
          <w:sz w:val="22"/>
          <w:szCs w:val="22"/>
        </w:rPr>
        <w:t>n°</w:t>
      </w:r>
      <w:r w:rsidRPr="00DF3C2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313</w:t>
      </w:r>
      <w:r w:rsidRPr="00DF3C24">
        <w:rPr>
          <w:rFonts w:ascii="Arial" w:hAnsi="Arial" w:cs="Arial"/>
          <w:sz w:val="22"/>
          <w:szCs w:val="22"/>
        </w:rPr>
        <w:t xml:space="preserve"> a pour objet</w:t>
      </w:r>
      <w:r w:rsidRPr="00DF3C24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d’approuver </w:t>
      </w:r>
      <w:r w:rsidRPr="00071986">
        <w:rPr>
          <w:rFonts w:ascii="Arial" w:hAnsi="Arial" w:cs="Arial"/>
          <w:sz w:val="22"/>
          <w:szCs w:val="22"/>
          <w:lang w:val="fr-LU" w:eastAsia="fr-LU"/>
        </w:rPr>
        <w:t>neuf accords aériens bilatéraux entre le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071986">
        <w:rPr>
          <w:rFonts w:ascii="Arial" w:hAnsi="Arial" w:cs="Arial"/>
          <w:sz w:val="22"/>
          <w:szCs w:val="22"/>
          <w:lang w:val="fr-LU" w:eastAsia="fr-LU"/>
        </w:rPr>
        <w:t>Gouvernement du Grand-Duché de Luxembourg, d’une part, et les gouvernements de la République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071986">
        <w:rPr>
          <w:rFonts w:ascii="Arial" w:hAnsi="Arial" w:cs="Arial"/>
          <w:sz w:val="22"/>
          <w:szCs w:val="22"/>
          <w:lang w:val="fr-LU" w:eastAsia="fr-LU"/>
        </w:rPr>
        <w:t xml:space="preserve">d’Arménie, de la République du Cameroun, de la République de Colombie, de la </w:t>
      </w:r>
      <w:r w:rsidRPr="00071986">
        <w:rPr>
          <w:rFonts w:ascii="Arial" w:hAnsi="Arial" w:cs="Arial"/>
          <w:sz w:val="22"/>
          <w:szCs w:val="22"/>
          <w:lang w:val="fr-LU" w:eastAsia="fr-LU"/>
        </w:rPr>
        <w:lastRenderedPageBreak/>
        <w:t>République de Côte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071986">
        <w:rPr>
          <w:rFonts w:ascii="Arial" w:hAnsi="Arial" w:cs="Arial"/>
          <w:sz w:val="22"/>
          <w:szCs w:val="22"/>
          <w:lang w:val="fr-LU" w:eastAsia="fr-LU"/>
        </w:rPr>
        <w:t>d’Ivoire, de la République du Kazakhstan, de la Mongolie, de la République du Niger, du Turkménistan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071986">
        <w:rPr>
          <w:rFonts w:ascii="Arial" w:hAnsi="Arial" w:cs="Arial"/>
          <w:sz w:val="22"/>
          <w:szCs w:val="22"/>
          <w:lang w:val="fr-LU" w:eastAsia="fr-LU"/>
        </w:rPr>
        <w:t>et de la République de Zambie, d’autre part</w:t>
      </w:r>
      <w:r>
        <w:rPr>
          <w:rFonts w:ascii="Arial" w:hAnsi="Arial" w:cs="Arial"/>
          <w:sz w:val="22"/>
          <w:szCs w:val="22"/>
          <w:lang w:val="fr-LU" w:eastAsia="fr-LU"/>
        </w:rPr>
        <w:t xml:space="preserve">. </w:t>
      </w:r>
    </w:p>
    <w:p w:rsidR="00E6276E" w:rsidRDefault="00E6276E" w:rsidP="00E6276E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E6276E" w:rsidRDefault="00E6276E" w:rsidP="00E6276E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>E</w:t>
      </w:r>
      <w:r w:rsidRPr="00F26B77">
        <w:rPr>
          <w:rFonts w:ascii="Arial" w:hAnsi="Arial" w:cs="Arial"/>
          <w:sz w:val="22"/>
          <w:szCs w:val="22"/>
          <w:lang w:val="fr-LU" w:eastAsia="fr-LU"/>
        </w:rPr>
        <w:t>n ce qui concerne les droits octroyés par les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accords bilatéraux, le principe s’avère être identique pour chacun des accords, à savoir que les États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s’octroient des droits réciproques de survol, d’escale</w:t>
      </w:r>
      <w:r>
        <w:rPr>
          <w:rFonts w:ascii="Arial" w:hAnsi="Arial" w:cs="Arial"/>
          <w:sz w:val="22"/>
          <w:szCs w:val="22"/>
          <w:lang w:val="fr-LU" w:eastAsia="fr-LU"/>
        </w:rPr>
        <w:t>,</w:t>
      </w:r>
      <w:r w:rsidRPr="00FC6EEC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d’embarquement et de débarquement, le droit de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cabotage étant expressément exclu</w:t>
      </w:r>
      <w:r>
        <w:rPr>
          <w:rFonts w:ascii="Arial" w:hAnsi="Arial" w:cs="Arial"/>
          <w:sz w:val="22"/>
          <w:szCs w:val="22"/>
          <w:lang w:val="fr-LU" w:eastAsia="fr-LU"/>
        </w:rPr>
        <w:t xml:space="preserve">. </w:t>
      </w:r>
    </w:p>
    <w:p w:rsidR="00E6276E" w:rsidRDefault="00E6276E" w:rsidP="00E6276E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E6276E" w:rsidRDefault="00E6276E" w:rsidP="00E6276E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>L</w:t>
      </w:r>
      <w:r w:rsidRPr="00F26B77">
        <w:rPr>
          <w:rFonts w:ascii="Arial" w:hAnsi="Arial" w:cs="Arial"/>
          <w:sz w:val="22"/>
          <w:szCs w:val="22"/>
          <w:lang w:val="fr-LU" w:eastAsia="fr-LU"/>
        </w:rPr>
        <w:t xml:space="preserve">es </w:t>
      </w:r>
      <w:r>
        <w:rPr>
          <w:rFonts w:ascii="Arial" w:hAnsi="Arial" w:cs="Arial"/>
          <w:sz w:val="22"/>
          <w:szCs w:val="22"/>
          <w:lang w:val="fr-LU" w:eastAsia="fr-LU"/>
        </w:rPr>
        <w:t>neuf acc</w:t>
      </w:r>
      <w:r w:rsidRPr="00F26B77">
        <w:rPr>
          <w:rFonts w:ascii="Arial" w:hAnsi="Arial" w:cs="Arial"/>
          <w:sz w:val="22"/>
          <w:szCs w:val="22"/>
          <w:lang w:val="fr-LU" w:eastAsia="fr-LU"/>
        </w:rPr>
        <w:t xml:space="preserve">ords prévoient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par ailleurs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l’exonération, sous certaines conditions, de tous droits de douane,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frais d’inspection et autres droits et taxes similaires sur les aéronefs, ainsi que le principe de non-discrimination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dans l’application des taxes aéroportuaires entre parties contractantes.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Ils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contien</w:t>
      </w:r>
      <w:r>
        <w:rPr>
          <w:rFonts w:ascii="Arial" w:hAnsi="Arial" w:cs="Arial"/>
          <w:sz w:val="22"/>
          <w:szCs w:val="22"/>
          <w:lang w:val="fr-LU" w:eastAsia="fr-LU"/>
        </w:rPr>
        <w:t>nent</w:t>
      </w:r>
      <w:r w:rsidRPr="00F26B77"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aussi </w:t>
      </w:r>
      <w:r w:rsidRPr="00F26B77">
        <w:rPr>
          <w:rFonts w:ascii="Arial" w:hAnsi="Arial" w:cs="Arial"/>
          <w:sz w:val="22"/>
          <w:szCs w:val="22"/>
          <w:lang w:val="fr-LU" w:eastAsia="fr-LU"/>
        </w:rPr>
        <w:t xml:space="preserve">des dispositions relatives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aux procédures de modification de l’accord, relatives aux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possibilité</w:t>
      </w:r>
      <w:r>
        <w:rPr>
          <w:rFonts w:ascii="Arial" w:hAnsi="Arial" w:cs="Arial"/>
          <w:sz w:val="22"/>
          <w:szCs w:val="22"/>
          <w:lang w:val="fr-LU" w:eastAsia="fr-LU"/>
        </w:rPr>
        <w:t>s</w:t>
      </w:r>
      <w:r w:rsidRPr="00F26B77">
        <w:rPr>
          <w:rFonts w:ascii="Arial" w:hAnsi="Arial" w:cs="Arial"/>
          <w:sz w:val="22"/>
          <w:szCs w:val="22"/>
          <w:lang w:val="fr-LU" w:eastAsia="fr-LU"/>
        </w:rPr>
        <w:t xml:space="preserve"> de révocation et de limitation de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l’autorisation d’exploitation accordée à une compagnie aérienne désignée par l’autre partie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et aussi relatives à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la procédure de règlement des différends</w:t>
      </w:r>
      <w:r>
        <w:rPr>
          <w:rFonts w:ascii="Arial" w:hAnsi="Arial" w:cs="Arial"/>
          <w:sz w:val="22"/>
          <w:szCs w:val="22"/>
          <w:lang w:val="fr-LU" w:eastAsia="fr-LU"/>
        </w:rPr>
        <w:t xml:space="preserve">. </w:t>
      </w:r>
    </w:p>
    <w:p w:rsidR="00E6276E" w:rsidRDefault="00E6276E" w:rsidP="00E6276E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E6276E" w:rsidRDefault="00E6276E" w:rsidP="00E6276E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 xml:space="preserve">Un </w:t>
      </w:r>
      <w:r w:rsidRPr="00F26B77">
        <w:rPr>
          <w:rFonts w:ascii="Arial" w:hAnsi="Arial" w:cs="Arial"/>
          <w:sz w:val="22"/>
          <w:szCs w:val="22"/>
          <w:lang w:val="fr-LU" w:eastAsia="fr-LU"/>
        </w:rPr>
        <w:t xml:space="preserve">tableau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annexé au document de dépôt (doc. parl. 7313 ; 30 mai 2018)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définit les routes à exploiter entre le Luxembourg et les destinations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situées sur le territoire de l’autre partie contractante par les compagnies désignées à cet effet.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</w:p>
    <w:p w:rsidR="00E6276E" w:rsidRDefault="00E6276E" w:rsidP="00E6276E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</w:p>
    <w:p w:rsidR="00E6276E" w:rsidRPr="00F26B77" w:rsidRDefault="00E6276E" w:rsidP="00E6276E">
      <w:pPr>
        <w:pStyle w:val="Grillemoyenne22"/>
        <w:jc w:val="both"/>
        <w:rPr>
          <w:rFonts w:ascii="Arial" w:hAnsi="Arial" w:cs="Arial"/>
          <w:sz w:val="22"/>
          <w:szCs w:val="22"/>
          <w:lang w:val="fr-LU" w:eastAsia="fr-LU"/>
        </w:rPr>
      </w:pPr>
      <w:r>
        <w:rPr>
          <w:rFonts w:ascii="Arial" w:hAnsi="Arial" w:cs="Arial"/>
          <w:sz w:val="22"/>
          <w:szCs w:val="22"/>
          <w:lang w:val="fr-LU" w:eastAsia="fr-LU"/>
        </w:rPr>
        <w:t>Les accords sont similaires, mais se différencient aussi par rapport à certains aspects significatifs. L</w:t>
      </w:r>
      <w:r w:rsidRPr="00F26B77">
        <w:rPr>
          <w:rFonts w:ascii="Arial" w:hAnsi="Arial" w:cs="Arial"/>
          <w:sz w:val="22"/>
          <w:szCs w:val="22"/>
          <w:lang w:val="fr-LU" w:eastAsia="fr-LU"/>
        </w:rPr>
        <w:t xml:space="preserve">’accord avec l’Arménie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exclu par exemple </w:t>
      </w:r>
      <w:r w:rsidRPr="00F26B77">
        <w:rPr>
          <w:rFonts w:ascii="Arial" w:hAnsi="Arial" w:cs="Arial"/>
          <w:sz w:val="22"/>
          <w:szCs w:val="22"/>
          <w:lang w:val="fr-LU" w:eastAsia="fr-LU"/>
        </w:rPr>
        <w:t xml:space="preserve">expressément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la possibilité d’octroyer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les droits accordés à un État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tiers</w:t>
      </w:r>
      <w:r>
        <w:rPr>
          <w:rFonts w:ascii="Arial" w:hAnsi="Arial" w:cs="Arial"/>
          <w:sz w:val="22"/>
          <w:szCs w:val="22"/>
          <w:lang w:val="fr-LU" w:eastAsia="fr-LU"/>
        </w:rPr>
        <w:t xml:space="preserve">. Ce même accord, ainsi que celui avec la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Colombie sont les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seuls à pré</w:t>
      </w:r>
      <w:r>
        <w:rPr>
          <w:rFonts w:ascii="Arial" w:hAnsi="Arial" w:cs="Arial"/>
          <w:sz w:val="22"/>
          <w:szCs w:val="22"/>
          <w:lang w:val="fr-LU" w:eastAsia="fr-LU"/>
        </w:rPr>
        <w:t xml:space="preserve">ciser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que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les</w:t>
      </w:r>
      <w:r w:rsidRPr="00F26B77">
        <w:rPr>
          <w:rFonts w:ascii="Arial" w:hAnsi="Arial" w:cs="Arial"/>
          <w:sz w:val="22"/>
          <w:szCs w:val="22"/>
          <w:lang w:val="fr-LU" w:eastAsia="fr-LU"/>
        </w:rPr>
        <w:t xml:space="preserve"> cas de révocation et de limitation d’autorisation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d’exploitation des compagnies aériennes désignées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ne sont pas limitatifs</w:t>
      </w:r>
      <w:r>
        <w:rPr>
          <w:rFonts w:ascii="Arial" w:hAnsi="Arial" w:cs="Arial"/>
          <w:sz w:val="22"/>
          <w:szCs w:val="22"/>
          <w:lang w:val="fr-LU" w:eastAsia="fr-LU"/>
        </w:rPr>
        <w:t>. Enfin, l</w:t>
      </w:r>
      <w:r w:rsidRPr="00F26B77">
        <w:rPr>
          <w:rFonts w:ascii="Arial" w:hAnsi="Arial" w:cs="Arial"/>
          <w:sz w:val="22"/>
          <w:szCs w:val="22"/>
          <w:lang w:val="fr-LU" w:eastAsia="fr-LU"/>
        </w:rPr>
        <w:t>es accords avec le Cameroun,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 xml:space="preserve">la Côte d’Ivoire et le Niger ne contiennent </w:t>
      </w:r>
      <w:r>
        <w:rPr>
          <w:rFonts w:ascii="Arial" w:hAnsi="Arial" w:cs="Arial"/>
          <w:sz w:val="22"/>
          <w:szCs w:val="22"/>
          <w:lang w:val="fr-LU" w:eastAsia="fr-LU"/>
        </w:rPr>
        <w:t xml:space="preserve">par exemple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pas de clause relative à la reconnaissance des certificats et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  <w:r w:rsidRPr="00F26B77">
        <w:rPr>
          <w:rFonts w:ascii="Arial" w:hAnsi="Arial" w:cs="Arial"/>
          <w:sz w:val="22"/>
          <w:szCs w:val="22"/>
          <w:lang w:val="fr-LU" w:eastAsia="fr-LU"/>
        </w:rPr>
        <w:t>licences.</w:t>
      </w:r>
      <w:r>
        <w:rPr>
          <w:rFonts w:ascii="Arial" w:hAnsi="Arial" w:cs="Arial"/>
          <w:sz w:val="22"/>
          <w:szCs w:val="22"/>
          <w:lang w:val="fr-LU" w:eastAsia="fr-LU"/>
        </w:rPr>
        <w:t xml:space="preserve"> </w:t>
      </w:r>
    </w:p>
    <w:p w:rsidR="006C0DA4" w:rsidRPr="00C01BFF" w:rsidRDefault="006C0DA4" w:rsidP="00E6276E">
      <w:pPr>
        <w:pStyle w:val="Grillemoyenne22"/>
        <w:jc w:val="both"/>
        <w:rPr>
          <w:rFonts w:ascii="Arial" w:hAnsi="Arial" w:cs="Arial"/>
          <w:sz w:val="22"/>
          <w:szCs w:val="22"/>
        </w:rPr>
      </w:pPr>
    </w:p>
    <w:sectPr w:rsidR="006C0DA4" w:rsidRPr="00C01B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BA" w:rsidRDefault="004C78BA" w:rsidP="003332DC">
      <w:r>
        <w:separator/>
      </w:r>
    </w:p>
  </w:endnote>
  <w:endnote w:type="continuationSeparator" w:id="0">
    <w:p w:rsidR="004C78BA" w:rsidRDefault="004C78BA" w:rsidP="003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DF" w:rsidRDefault="00F544D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97D">
      <w:rPr>
        <w:noProof/>
      </w:rPr>
      <w:t>1</w:t>
    </w:r>
    <w:r>
      <w:fldChar w:fldCharType="end"/>
    </w:r>
  </w:p>
  <w:p w:rsidR="00F544DF" w:rsidRDefault="00F544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BA" w:rsidRDefault="004C78BA" w:rsidP="003332DC">
      <w:r>
        <w:separator/>
      </w:r>
    </w:p>
  </w:footnote>
  <w:footnote w:type="continuationSeparator" w:id="0">
    <w:p w:rsidR="004C78BA" w:rsidRDefault="004C78BA" w:rsidP="0033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5A4"/>
    <w:multiLevelType w:val="hybridMultilevel"/>
    <w:tmpl w:val="F5CE64B0"/>
    <w:lvl w:ilvl="0" w:tplc="4836C2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026E"/>
    <w:multiLevelType w:val="hybridMultilevel"/>
    <w:tmpl w:val="BA606540"/>
    <w:lvl w:ilvl="0" w:tplc="19AC4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A4"/>
    <w:rsid w:val="00033213"/>
    <w:rsid w:val="00200C15"/>
    <w:rsid w:val="00255463"/>
    <w:rsid w:val="003332DC"/>
    <w:rsid w:val="003429C8"/>
    <w:rsid w:val="00424318"/>
    <w:rsid w:val="004C78BA"/>
    <w:rsid w:val="004F0017"/>
    <w:rsid w:val="00592DBC"/>
    <w:rsid w:val="006C0DA4"/>
    <w:rsid w:val="00896BA4"/>
    <w:rsid w:val="00A67554"/>
    <w:rsid w:val="00A94656"/>
    <w:rsid w:val="00B12F3E"/>
    <w:rsid w:val="00BD1D1B"/>
    <w:rsid w:val="00C01BFF"/>
    <w:rsid w:val="00CC2E25"/>
    <w:rsid w:val="00D6497D"/>
    <w:rsid w:val="00DE45A4"/>
    <w:rsid w:val="00E6276E"/>
    <w:rsid w:val="00E96A04"/>
    <w:rsid w:val="00F544DF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FFB074-E32F-45A5-B876-AF0DC9FE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A4"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2DC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332DC"/>
    <w:rPr>
      <w:rFonts w:ascii="Calibri" w:eastAsia="Times New Roman" w:hAnsi="Calibri" w:cs="Times New Roman"/>
      <w:lang w:val="fr-FR" w:eastAsia="fr-FR"/>
    </w:rPr>
  </w:style>
  <w:style w:type="character" w:styleId="Appelnotedebasdep">
    <w:name w:val="footnote reference"/>
    <w:uiPriority w:val="99"/>
    <w:semiHidden/>
    <w:unhideWhenUsed/>
    <w:rsid w:val="003332DC"/>
    <w:rPr>
      <w:vertAlign w:val="superscript"/>
    </w:rPr>
  </w:style>
  <w:style w:type="paragraph" w:styleId="Textebrut">
    <w:name w:val="Plain Text"/>
    <w:basedOn w:val="Normal"/>
    <w:link w:val="TextebrutCar"/>
    <w:uiPriority w:val="99"/>
    <w:rsid w:val="003332DC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3332DC"/>
    <w:rPr>
      <w:rFonts w:ascii="Courier New" w:hAnsi="Courier New"/>
      <w:lang w:val="fr-FR" w:eastAsia="fr-FR"/>
    </w:rPr>
  </w:style>
  <w:style w:type="paragraph" w:styleId="Paragraphedeliste">
    <w:name w:val="List Paragraph"/>
    <w:basedOn w:val="Normal"/>
    <w:uiPriority w:val="99"/>
    <w:qFormat/>
    <w:rsid w:val="00F544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F544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544D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544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544DF"/>
    <w:rPr>
      <w:sz w:val="24"/>
      <w:szCs w:val="24"/>
      <w:lang w:val="fr-FR" w:eastAsia="fr-FR"/>
    </w:rPr>
  </w:style>
  <w:style w:type="paragraph" w:customStyle="1" w:styleId="Grillemoyenne22">
    <w:name w:val="Grille moyenne 22"/>
    <w:uiPriority w:val="1"/>
    <w:qFormat/>
    <w:rsid w:val="00033213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révision de l’article 68 de la Constitution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révision de l’article 68 de la Constitution</dc:title>
  <dc:subject/>
  <dc:creator>Laurent Besch</dc:creator>
  <cp:keywords/>
  <cp:lastModifiedBy>SYSTEM</cp:lastModifiedBy>
  <cp:revision>2</cp:revision>
  <dcterms:created xsi:type="dcterms:W3CDTF">2024-02-21T07:55:00Z</dcterms:created>
  <dcterms:modified xsi:type="dcterms:W3CDTF">2024-02-21T07:55:00Z</dcterms:modified>
</cp:coreProperties>
</file>