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60" w:rsidRPr="00870F60" w:rsidRDefault="00870F60" w:rsidP="00870F60">
      <w:pPr>
        <w:spacing w:after="0" w:line="240" w:lineRule="auto"/>
        <w:jc w:val="center"/>
        <w:rPr>
          <w:rFonts w:ascii="Arial" w:eastAsia="Times New Roman" w:hAnsi="Arial"/>
          <w:b/>
          <w:color w:val="FF0000"/>
          <w:sz w:val="28"/>
          <w:szCs w:val="28"/>
          <w:u w:val="single"/>
          <w:lang w:eastAsia="fr-FR"/>
        </w:rPr>
      </w:pPr>
      <w:bookmarkStart w:id="0" w:name="_GoBack"/>
      <w:bookmarkEnd w:id="0"/>
      <w:r w:rsidRPr="00870F60">
        <w:rPr>
          <w:rFonts w:ascii="Arial" w:eastAsia="Times New Roman" w:hAnsi="Arial"/>
          <w:b/>
          <w:color w:val="FF0000"/>
          <w:sz w:val="28"/>
          <w:szCs w:val="28"/>
          <w:u w:val="single"/>
          <w:lang w:eastAsia="fr-FR"/>
        </w:rPr>
        <w:t>Synthèse du PL 7171</w:t>
      </w:r>
    </w:p>
    <w:p w:rsidR="00870F60" w:rsidRDefault="00870F60" w:rsidP="00870F60">
      <w:pPr>
        <w:spacing w:after="0" w:line="240" w:lineRule="auto"/>
        <w:jc w:val="both"/>
        <w:rPr>
          <w:rFonts w:ascii="Arial" w:eastAsia="Times New Roman" w:hAnsi="Arial"/>
          <w:lang w:eastAsia="fr-FR"/>
        </w:rPr>
      </w:pP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 xml:space="preserve">L’objectif du présent </w:t>
      </w:r>
      <w:proofErr w:type="spellStart"/>
      <w:r>
        <w:rPr>
          <w:rFonts w:ascii="Arial" w:eastAsia="Times New Roman" w:hAnsi="Arial"/>
          <w:lang w:eastAsia="fr-FR"/>
        </w:rPr>
        <w:t>projt</w:t>
      </w:r>
      <w:proofErr w:type="spellEnd"/>
      <w:r>
        <w:rPr>
          <w:rFonts w:ascii="Arial" w:eastAsia="Times New Roman" w:hAnsi="Arial"/>
          <w:lang w:eastAsia="fr-FR"/>
        </w:rPr>
        <w:t xml:space="preserve"> est de mettre en place l’instrument du compte épargne-temps (CET) qui permettra à chaque agent d’accumuler et d’épargner du temps, afin de l’utiliser de manière différée à un moment de son choix, ceci chaque fois dans la limite des conditions légales.</w:t>
      </w:r>
    </w:p>
    <w:p w:rsidR="00870F60" w:rsidRDefault="00870F60" w:rsidP="00870F60">
      <w:pPr>
        <w:spacing w:after="0" w:line="240" w:lineRule="auto"/>
        <w:jc w:val="both"/>
        <w:rPr>
          <w:rFonts w:ascii="Arial" w:eastAsia="Times New Roman" w:hAnsi="Arial"/>
          <w:lang w:eastAsia="fr-FR"/>
        </w:rPr>
      </w:pP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Il s’agit de règles en matière d’aménagement du temps de travail et de congés qui vont permettre aux employés de l'Etat et aux fonctionnaires d’accumuler et d’épargner du temps afin de l’utiliser de manière différée à un moment de leur choix, et ainsi de mieux concilier vie privée et vie professionnelle, le tout dans la limite des conditions légales.</w:t>
      </w:r>
    </w:p>
    <w:p w:rsidR="00870F60" w:rsidRDefault="00870F60" w:rsidP="00870F60">
      <w:pPr>
        <w:spacing w:after="0" w:line="240" w:lineRule="auto"/>
        <w:jc w:val="both"/>
        <w:rPr>
          <w:rFonts w:ascii="Arial" w:eastAsia="Times New Roman" w:hAnsi="Arial"/>
          <w:lang w:eastAsia="fr-FR"/>
        </w:rPr>
      </w:pP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L’accent est mis sur un accroissement du bien-être au travail, une certaine liberté pour que chacun puisse mieux concilier les exigences de l’organisation du travail avec son rythme de vie privée, ses loisirs, sa participation à la vie associative, etc.</w:t>
      </w:r>
    </w:p>
    <w:p w:rsidR="00870F60" w:rsidRDefault="00870F60" w:rsidP="00870F60">
      <w:pPr>
        <w:spacing w:after="0" w:line="240" w:lineRule="auto"/>
        <w:jc w:val="both"/>
        <w:rPr>
          <w:rFonts w:ascii="Arial" w:eastAsia="Times New Roman" w:hAnsi="Arial"/>
          <w:lang w:eastAsia="fr-FR"/>
        </w:rPr>
      </w:pP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De plus, sera introduite davantage de flexibilité dans la détermination du temps de présence obligatoire des agents, la durée minimale de la pause de midi passera d’une heure à une demi-heure, l’heure flexible de début de la journée de travail sera avancée à 6.30 heures.</w:t>
      </w: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Aussi, les congés extraordinaires dans la Fonction Publique seront alignés sur ceux auxquels ont droit les salariés de droit privé depuis le début de l’année 2018.</w:t>
      </w:r>
    </w:p>
    <w:p w:rsidR="00870F60" w:rsidRDefault="00870F60" w:rsidP="00870F60">
      <w:pPr>
        <w:spacing w:after="0" w:line="240" w:lineRule="auto"/>
        <w:jc w:val="both"/>
        <w:rPr>
          <w:rFonts w:ascii="Arial" w:eastAsia="Times New Roman" w:hAnsi="Arial"/>
          <w:lang w:eastAsia="fr-FR"/>
        </w:rPr>
      </w:pP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L’agent de l’Etat aura donc droit aux congés extraordinaires suivants :</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firstLine="284"/>
        <w:jc w:val="both"/>
        <w:rPr>
          <w:rFonts w:ascii="Arial" w:eastAsia="Times New Roman" w:hAnsi="Arial"/>
          <w:lang w:eastAsia="fr-FR"/>
        </w:rPr>
      </w:pPr>
      <w:r>
        <w:rPr>
          <w:rFonts w:ascii="Arial" w:eastAsia="Times New Roman" w:hAnsi="Arial"/>
          <w:lang w:eastAsia="fr-FR"/>
        </w:rPr>
        <w:t>- trois jours ouvrés pour son mariage ;</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firstLine="284"/>
        <w:jc w:val="both"/>
        <w:rPr>
          <w:rFonts w:ascii="Arial" w:eastAsia="Times New Roman" w:hAnsi="Arial"/>
          <w:lang w:eastAsia="fr-FR"/>
        </w:rPr>
      </w:pPr>
      <w:r>
        <w:rPr>
          <w:rFonts w:ascii="Arial" w:eastAsia="Times New Roman" w:hAnsi="Arial"/>
          <w:lang w:eastAsia="fr-FR"/>
        </w:rPr>
        <w:t>- un jour ouvré pour la déclaration de son partenariat ;</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firstLine="284"/>
        <w:jc w:val="both"/>
        <w:rPr>
          <w:rFonts w:ascii="Arial" w:eastAsia="Times New Roman" w:hAnsi="Arial"/>
          <w:lang w:eastAsia="fr-FR"/>
        </w:rPr>
      </w:pPr>
      <w:r>
        <w:rPr>
          <w:rFonts w:ascii="Arial" w:eastAsia="Times New Roman" w:hAnsi="Arial"/>
          <w:lang w:eastAsia="fr-FR"/>
        </w:rPr>
        <w:t>- dix jours ouvrés pour le père en cas de naissance d’un enfant ;</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left="426" w:hanging="142"/>
        <w:jc w:val="both"/>
        <w:rPr>
          <w:rFonts w:ascii="Arial" w:eastAsia="Times New Roman" w:hAnsi="Arial"/>
          <w:lang w:eastAsia="fr-FR"/>
        </w:rPr>
      </w:pPr>
      <w:r>
        <w:rPr>
          <w:rFonts w:ascii="Arial" w:eastAsia="Times New Roman" w:hAnsi="Arial"/>
          <w:lang w:eastAsia="fr-FR"/>
        </w:rPr>
        <w:t>- dix jours ouvrés en cas d’accueil d’un enfant de moins de seize ans en vue de son adoption, sauf en cas de bénéfice du congé d’accueil ;</w:t>
      </w:r>
    </w:p>
    <w:p w:rsidR="00870F60" w:rsidRDefault="00870F60" w:rsidP="00870F60">
      <w:pPr>
        <w:spacing w:after="0" w:line="240" w:lineRule="auto"/>
        <w:ind w:left="426" w:hanging="426"/>
        <w:jc w:val="both"/>
        <w:rPr>
          <w:rFonts w:ascii="Arial" w:eastAsia="Times New Roman" w:hAnsi="Arial"/>
          <w:sz w:val="16"/>
          <w:szCs w:val="16"/>
          <w:lang w:eastAsia="fr-FR"/>
        </w:rPr>
      </w:pPr>
    </w:p>
    <w:p w:rsidR="00870F60" w:rsidRDefault="00870F60" w:rsidP="00870F60">
      <w:pPr>
        <w:spacing w:after="0" w:line="240" w:lineRule="auto"/>
        <w:ind w:firstLine="284"/>
        <w:jc w:val="both"/>
        <w:rPr>
          <w:rFonts w:ascii="Arial" w:eastAsia="Times New Roman" w:hAnsi="Arial"/>
          <w:lang w:eastAsia="fr-FR"/>
        </w:rPr>
      </w:pPr>
      <w:r>
        <w:rPr>
          <w:rFonts w:ascii="Arial" w:eastAsia="Times New Roman" w:hAnsi="Arial"/>
          <w:lang w:eastAsia="fr-FR"/>
        </w:rPr>
        <w:t>- un jour ouvré pour le mariage de son enfant ;</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left="426" w:hanging="142"/>
        <w:jc w:val="both"/>
        <w:rPr>
          <w:rFonts w:ascii="Arial" w:eastAsia="Times New Roman" w:hAnsi="Arial"/>
          <w:lang w:eastAsia="fr-FR"/>
        </w:rPr>
      </w:pPr>
      <w:r>
        <w:rPr>
          <w:rFonts w:ascii="Arial" w:eastAsia="Times New Roman" w:hAnsi="Arial"/>
          <w:lang w:eastAsia="fr-FR"/>
        </w:rPr>
        <w:t>- trois jours ouvrés en cas de décès de son conjoint ou partenaire ou d’un parent ou allié du premier degré ;</w:t>
      </w:r>
    </w:p>
    <w:p w:rsidR="00870F60" w:rsidRDefault="00870F60" w:rsidP="00870F60">
      <w:pPr>
        <w:spacing w:after="0" w:line="240" w:lineRule="auto"/>
        <w:ind w:left="426" w:hanging="426"/>
        <w:jc w:val="both"/>
        <w:rPr>
          <w:rFonts w:ascii="Arial" w:eastAsia="Times New Roman" w:hAnsi="Arial"/>
          <w:sz w:val="16"/>
          <w:szCs w:val="16"/>
          <w:lang w:eastAsia="fr-FR"/>
        </w:rPr>
      </w:pPr>
    </w:p>
    <w:p w:rsidR="00870F60" w:rsidRDefault="00870F60" w:rsidP="00870F60">
      <w:pPr>
        <w:spacing w:after="0" w:line="240" w:lineRule="auto"/>
        <w:ind w:firstLine="284"/>
        <w:jc w:val="both"/>
        <w:rPr>
          <w:rFonts w:ascii="Arial" w:eastAsia="Times New Roman" w:hAnsi="Arial"/>
          <w:lang w:eastAsia="fr-FR"/>
        </w:rPr>
      </w:pPr>
      <w:r>
        <w:rPr>
          <w:rFonts w:ascii="Arial" w:eastAsia="Times New Roman" w:hAnsi="Arial"/>
          <w:lang w:eastAsia="fr-FR"/>
        </w:rPr>
        <w:t>- cinq jours ouvrés en cas de décès de son enfant mineur ;</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firstLine="284"/>
        <w:jc w:val="both"/>
        <w:rPr>
          <w:rFonts w:ascii="Arial" w:eastAsia="Times New Roman" w:hAnsi="Arial"/>
          <w:lang w:eastAsia="fr-FR"/>
        </w:rPr>
      </w:pPr>
      <w:r>
        <w:rPr>
          <w:rFonts w:ascii="Arial" w:eastAsia="Times New Roman" w:hAnsi="Arial"/>
          <w:lang w:eastAsia="fr-FR"/>
        </w:rPr>
        <w:t>- un jour ouvré en cas de décès d’un parent ou allié du deuxième degré ; ainsi que</w:t>
      </w:r>
    </w:p>
    <w:p w:rsidR="00870F60" w:rsidRDefault="00870F60" w:rsidP="00870F60">
      <w:pPr>
        <w:spacing w:after="0" w:line="240" w:lineRule="auto"/>
        <w:jc w:val="both"/>
        <w:rPr>
          <w:rFonts w:ascii="Arial" w:eastAsia="Times New Roman" w:hAnsi="Arial"/>
          <w:sz w:val="16"/>
          <w:szCs w:val="16"/>
          <w:lang w:eastAsia="fr-FR"/>
        </w:rPr>
      </w:pPr>
    </w:p>
    <w:p w:rsidR="00870F60" w:rsidRDefault="00870F60" w:rsidP="00870F60">
      <w:pPr>
        <w:spacing w:after="0" w:line="240" w:lineRule="auto"/>
        <w:ind w:left="426" w:hanging="142"/>
        <w:jc w:val="both"/>
        <w:rPr>
          <w:rFonts w:ascii="Arial" w:eastAsia="Times New Roman" w:hAnsi="Arial"/>
          <w:lang w:eastAsia="fr-FR"/>
        </w:rPr>
      </w:pPr>
      <w:r>
        <w:rPr>
          <w:rFonts w:ascii="Arial" w:eastAsia="Times New Roman" w:hAnsi="Arial"/>
          <w:lang w:eastAsia="fr-FR"/>
        </w:rPr>
        <w:t>- deux jours ouvrés en cas de déménagement sur une période de trois ans de service, sauf s’il doit déménager pour des raisons professionnelles.</w:t>
      </w:r>
    </w:p>
    <w:p w:rsidR="00870F60" w:rsidRDefault="00870F60" w:rsidP="00870F60">
      <w:pPr>
        <w:spacing w:after="0" w:line="240" w:lineRule="auto"/>
        <w:jc w:val="both"/>
        <w:rPr>
          <w:rFonts w:ascii="Arial" w:eastAsia="Times New Roman" w:hAnsi="Arial"/>
          <w:lang w:eastAsia="fr-FR"/>
        </w:rPr>
      </w:pPr>
    </w:p>
    <w:p w:rsidR="00870F60" w:rsidRDefault="00870F60" w:rsidP="00870F60">
      <w:pPr>
        <w:spacing w:after="0" w:line="240" w:lineRule="auto"/>
        <w:jc w:val="both"/>
        <w:rPr>
          <w:rFonts w:ascii="Arial" w:eastAsia="Times New Roman" w:hAnsi="Arial"/>
          <w:lang w:eastAsia="fr-FR"/>
        </w:rPr>
      </w:pPr>
      <w:r>
        <w:rPr>
          <w:rFonts w:ascii="Arial" w:eastAsia="Times New Roman" w:hAnsi="Arial"/>
          <w:lang w:eastAsia="fr-FR"/>
        </w:rPr>
        <w:t>Par ailleurs, les règles relatives au CET seront adaptées pour tenir compte de la situation des enseignants. Le CET des enseignants sera géré en leçons et également utilisé en leçons et non pas en heures comme prévu dans la version initiale du projet de loi. La gestion du CET en leçons évitera de devoir convertir des leçons en heures et vice versa. Il est prévu que le plafond maximal d’heures soit fixé à 1.800 heures, soit une année de travail.</w:t>
      </w:r>
    </w:p>
    <w:p w:rsidR="000323D1" w:rsidRDefault="000323D1">
      <w:pPr>
        <w:rPr>
          <w:rFonts w:ascii="Arial" w:hAnsi="Arial" w:cs="Arial"/>
        </w:rPr>
      </w:pPr>
    </w:p>
    <w:sectPr w:rsidR="0003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F60"/>
    <w:rsid w:val="000323D1"/>
    <w:rsid w:val="003A6DCF"/>
    <w:rsid w:val="00870F60"/>
    <w:rsid w:val="00917F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727AB9-EC3D-4D65-B445-D6862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2024-02-21T07:54:00Z</dcterms:created>
  <dcterms:modified xsi:type="dcterms:W3CDTF">2024-02-21T07:54:00Z</dcterms:modified>
</cp:coreProperties>
</file>