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F" w:rsidRPr="0041272F" w:rsidRDefault="00DD7ABB" w:rsidP="0041272F">
      <w:pPr>
        <w:pStyle w:val="Sansinterligne"/>
        <w:jc w:val="both"/>
        <w:rPr>
          <w:rFonts w:ascii="Arial" w:hAnsi="Arial" w:cs="Arial"/>
          <w:lang w:eastAsia="fr-LU"/>
        </w:rPr>
      </w:pPr>
      <w:bookmarkStart w:id="0" w:name="_GoBack"/>
      <w:bookmarkEnd w:id="0"/>
      <w:r>
        <w:rPr>
          <w:rFonts w:ascii="Arial" w:hAnsi="Arial" w:cs="Arial"/>
        </w:rPr>
        <w:t>7198 : résumé</w:t>
      </w:r>
    </w:p>
    <w:p w:rsidR="0041272F" w:rsidRPr="0041272F" w:rsidRDefault="0041272F" w:rsidP="0041272F">
      <w:pPr>
        <w:pStyle w:val="Sansinterligne"/>
        <w:jc w:val="both"/>
        <w:rPr>
          <w:rFonts w:ascii="Arial" w:hAnsi="Arial" w:cs="Arial"/>
          <w:lang w:eastAsia="fr-LU"/>
        </w:rPr>
      </w:pPr>
    </w:p>
    <w:p w:rsidR="0041272F" w:rsidRPr="0041272F" w:rsidRDefault="0041272F" w:rsidP="0041272F">
      <w:pPr>
        <w:pStyle w:val="Sansinterligne"/>
        <w:jc w:val="both"/>
        <w:rPr>
          <w:rFonts w:ascii="Arial" w:hAnsi="Arial" w:cs="Arial"/>
          <w:lang w:eastAsia="fr-LU"/>
        </w:rPr>
      </w:pPr>
      <w:r w:rsidRPr="0041272F">
        <w:rPr>
          <w:rFonts w:ascii="Arial" w:hAnsi="Arial" w:cs="Arial"/>
          <w:lang w:eastAsia="fr-LU"/>
        </w:rPr>
        <w:t xml:space="preserve">L’objectif du présent projet de loi est de </w:t>
      </w:r>
      <w:r w:rsidR="00DD7ABB">
        <w:rPr>
          <w:rFonts w:ascii="Arial" w:hAnsi="Arial" w:cs="Arial"/>
          <w:lang w:eastAsia="fr-LU"/>
        </w:rPr>
        <w:t>corrig</w:t>
      </w:r>
      <w:r w:rsidRPr="0041272F">
        <w:rPr>
          <w:rFonts w:ascii="Arial" w:hAnsi="Arial" w:cs="Arial"/>
          <w:lang w:eastAsia="fr-LU"/>
        </w:rPr>
        <w:t>er une erreur matérielle. En effet, lors de l’élaboration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de la loi du 26 janvier 2016 modifiant la loi modifiée du 14 février 1955 concernant la réglementation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de la circulation sur toutes les voies publiques, portant réforme du contrôle technique des véhicules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routiers, il avait été oublié de reprendre les dispositions du paragraphe 6 de l’ancien article 4</w:t>
      </w:r>
      <w:r w:rsidRPr="00DD7ABB">
        <w:rPr>
          <w:rFonts w:ascii="Arial" w:hAnsi="Arial" w:cs="Arial"/>
          <w:i/>
          <w:lang w:eastAsia="fr-LU"/>
        </w:rPr>
        <w:t>bis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de la loi modifiée du 14 février 1955 qui concernent les contrôles en matière de tachygraphe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et de temps de conduite et périodes de repos et la sanction des infractions.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Le présent projet de loi vise dès lors à réintroduire la disposition contenue auparavant dans l’ancien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article 4</w:t>
      </w:r>
      <w:r w:rsidRPr="00DD7ABB">
        <w:rPr>
          <w:rFonts w:ascii="Arial" w:hAnsi="Arial" w:cs="Arial"/>
          <w:i/>
          <w:lang w:eastAsia="fr-LU"/>
        </w:rPr>
        <w:t>bis</w:t>
      </w:r>
      <w:r w:rsidRPr="0041272F">
        <w:rPr>
          <w:rFonts w:ascii="Arial" w:hAnsi="Arial" w:cs="Arial"/>
          <w:lang w:eastAsia="fr-LU"/>
        </w:rPr>
        <w:t>, paragraphe 6, tel qu’il existait avant la loi du 26 janvier 2016, mais qui devient selon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la nouvelle numérotation des articles, l’article 4</w:t>
      </w:r>
      <w:r w:rsidRPr="00DD7ABB">
        <w:rPr>
          <w:rFonts w:ascii="Arial" w:hAnsi="Arial" w:cs="Arial"/>
          <w:i/>
          <w:lang w:eastAsia="fr-LU"/>
        </w:rPr>
        <w:t>sexies</w:t>
      </w:r>
      <w:r w:rsidRPr="0041272F">
        <w:rPr>
          <w:rFonts w:ascii="Arial" w:hAnsi="Arial" w:cs="Arial"/>
          <w:lang w:eastAsia="fr-LU"/>
        </w:rPr>
        <w:t>.</w:t>
      </w:r>
    </w:p>
    <w:p w:rsidR="0041272F" w:rsidRPr="0041272F" w:rsidRDefault="0041272F" w:rsidP="0041272F">
      <w:pPr>
        <w:pStyle w:val="Sansinterligne"/>
        <w:jc w:val="both"/>
        <w:rPr>
          <w:rFonts w:ascii="Arial" w:hAnsi="Arial" w:cs="Arial"/>
          <w:lang w:eastAsia="fr-LU"/>
        </w:rPr>
      </w:pPr>
      <w:r w:rsidRPr="0041272F">
        <w:rPr>
          <w:rFonts w:ascii="Arial" w:hAnsi="Arial" w:cs="Arial"/>
          <w:lang w:eastAsia="fr-LU"/>
        </w:rPr>
        <w:t>Etant donné qu’entretemps le règlement (UE) n°165/2014 relatif aux tachygraphes dans les transports routiers, abrogeant le règlement (CEE) n°3821/85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concernant l’appareil de contrôle dans le domaine des transports par route et modifiant le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règlement (CE) n°561/2006 relatif à l’harmonisation de certaines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dispositions de la législation sociale dans le domaine des transports par route a remplacé le règlement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 xml:space="preserve">(CEE) n°3821/85 </w:t>
      </w:r>
      <w:r w:rsidR="00DD7ABB">
        <w:rPr>
          <w:rFonts w:ascii="Arial" w:hAnsi="Arial" w:cs="Arial"/>
          <w:lang w:eastAsia="fr-LU"/>
        </w:rPr>
        <w:t>précité</w:t>
      </w:r>
      <w:r w:rsidRPr="0041272F">
        <w:rPr>
          <w:rFonts w:ascii="Arial" w:hAnsi="Arial" w:cs="Arial"/>
          <w:lang w:eastAsia="fr-LU"/>
        </w:rPr>
        <w:t xml:space="preserve">, il y a </w:t>
      </w:r>
      <w:r w:rsidR="00DD7ABB">
        <w:rPr>
          <w:rFonts w:ascii="Arial" w:hAnsi="Arial" w:cs="Arial"/>
          <w:lang w:eastAsia="fr-LU"/>
        </w:rPr>
        <w:t>également</w:t>
      </w:r>
      <w:r w:rsidRPr="0041272F">
        <w:rPr>
          <w:rFonts w:ascii="Arial" w:hAnsi="Arial" w:cs="Arial"/>
          <w:lang w:eastAsia="fr-LU"/>
        </w:rPr>
        <w:t xml:space="preserve"> lieu de mentionner le nouveau règlement (UE) n°165/2014 au lieu du règlement</w:t>
      </w:r>
      <w:r w:rsidR="00DD7ABB">
        <w:rPr>
          <w:rFonts w:ascii="Arial" w:hAnsi="Arial" w:cs="Arial"/>
          <w:lang w:eastAsia="fr-LU"/>
        </w:rPr>
        <w:t xml:space="preserve"> </w:t>
      </w:r>
      <w:r w:rsidRPr="0041272F">
        <w:rPr>
          <w:rFonts w:ascii="Arial" w:hAnsi="Arial" w:cs="Arial"/>
          <w:lang w:eastAsia="fr-LU"/>
        </w:rPr>
        <w:t>(CEE) n°3821/85 abrogé.</w:t>
      </w:r>
    </w:p>
    <w:p w:rsidR="0041272F" w:rsidRDefault="0041272F"/>
    <w:sectPr w:rsidR="0041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72F"/>
    <w:rsid w:val="00071993"/>
    <w:rsid w:val="001740CE"/>
    <w:rsid w:val="0041272F"/>
    <w:rsid w:val="007E0D67"/>
    <w:rsid w:val="008B3220"/>
    <w:rsid w:val="00DD7ABB"/>
    <w:rsid w:val="00E13E2B"/>
    <w:rsid w:val="00F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A24334-8390-47C4-8B02-E3A8817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272F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7A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2018-03-22T15:55:00Z</cp:lastPrinted>
  <dcterms:created xsi:type="dcterms:W3CDTF">2024-02-21T07:54:00Z</dcterms:created>
  <dcterms:modified xsi:type="dcterms:W3CDTF">2024-02-21T07:54:00Z</dcterms:modified>
</cp:coreProperties>
</file>