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2B122F">
        <w:rPr>
          <w:rFonts w:ascii="Arial" w:eastAsia="Times New Roman" w:hAnsi="Arial" w:cs="Arial"/>
          <w:sz w:val="24"/>
          <w:szCs w:val="24"/>
          <w:lang w:eastAsia="fr-FR"/>
        </w:rPr>
        <w:t>N° 7176</w:t>
      </w: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2B122F">
        <w:rPr>
          <w:rFonts w:ascii="Arial" w:eastAsia="Times New Roman" w:hAnsi="Arial" w:cs="Arial"/>
          <w:b/>
          <w:sz w:val="28"/>
          <w:szCs w:val="28"/>
          <w:lang w:eastAsia="fr-FR"/>
        </w:rPr>
        <w:t>CHAMBRE DES DÉPUTÉS</w:t>
      </w: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36A94" w:rsidRPr="002B122F" w:rsidRDefault="00F36A94" w:rsidP="00F36A9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sz w:val="24"/>
          <w:szCs w:val="24"/>
          <w:lang w:eastAsia="fr-FR"/>
        </w:rPr>
        <w:t>Session ordinaire 2017 - 2018</w:t>
      </w:r>
    </w:p>
    <w:p w:rsidR="00F36A94" w:rsidRPr="002B122F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Projet de loi portant approbation de l'Accord-cadre entre le Gouvernement du Grand-Duché de Luxembourg et le Gouvernement de la République française sur la coopération sanitaire transfrontalière, fait à Luxembourg, le 21 novembre 2016</w:t>
      </w: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F36A94" w:rsidRPr="00F36A94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F36A94">
        <w:rPr>
          <w:rFonts w:ascii="Arial" w:eastAsia="Times New Roman" w:hAnsi="Arial" w:cs="Arial"/>
          <w:b/>
          <w:sz w:val="48"/>
          <w:szCs w:val="48"/>
          <w:lang w:eastAsia="fr-FR"/>
        </w:rPr>
        <w:t>RESUME</w:t>
      </w:r>
    </w:p>
    <w:p w:rsidR="00F36A94" w:rsidRPr="002B122F" w:rsidRDefault="00F36A94" w:rsidP="00F3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F36A94" w:rsidRPr="00283254" w:rsidRDefault="00F36A94" w:rsidP="00F36A94">
      <w:pPr>
        <w:spacing w:after="0" w:line="240" w:lineRule="auto"/>
        <w:ind w:left="1080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</w:p>
    <w:p w:rsidR="00F36A94" w:rsidRPr="00283254" w:rsidRDefault="00F36A94" w:rsidP="00F36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 xml:space="preserve">Le projet de loi vise à approuver l’Accord-cadre en matière de coopération sanitaire transfrontalière, conclu entre le Gouvernement du Grand-Duché de Luxembourg et le Gouvernement de la </w:t>
      </w:r>
      <w:bookmarkStart w:id="1" w:name="_Hlk511917715"/>
      <w:r w:rsidRPr="00283254">
        <w:rPr>
          <w:rFonts w:ascii="Arial" w:eastAsia="Times New Roman" w:hAnsi="Arial" w:cs="Arial"/>
          <w:bCs/>
          <w:lang w:eastAsia="fr-FR"/>
        </w:rPr>
        <w:t>République française</w:t>
      </w:r>
      <w:bookmarkEnd w:id="1"/>
      <w:r>
        <w:rPr>
          <w:rFonts w:ascii="Arial" w:eastAsia="Times New Roman" w:hAnsi="Arial" w:cs="Arial"/>
          <w:bCs/>
          <w:lang w:eastAsia="fr-FR"/>
        </w:rPr>
        <w:t>.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L’Accord-cadre vise à remédier à un certain nombre de difficultés liées à des barrières administratives et aux problèmes de prise en charge des patients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Du côté français, l’Accord-cadre sous rubrique s’applique à la Région du Grand-Est, alors que du côté luxembourgeois, il concerne l’ensemble du territoire national.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 xml:space="preserve">L’Accord-cadre vise à poser un cadre juridique permettant la mise en place de conventions locales de coopération sanitaire transfrontalière. 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Plus particulièrement, l</w:t>
      </w:r>
      <w:r w:rsidRPr="00283254">
        <w:rPr>
          <w:rFonts w:ascii="Arial" w:eastAsia="Times New Roman" w:hAnsi="Arial" w:cs="Arial"/>
          <w:bCs/>
          <w:lang w:eastAsia="fr-FR"/>
        </w:rPr>
        <w:t>’Accord-cadre signé vise principalement à :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– assurer un accès meilleur et plus rapide à des soins de qualité pour les populations des régions frontalières, au plus près de leur domicile, voire de leur lieu de travail ;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– garantir la continuité des soins ;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– optimiser l’organisation de l’offre de soins en encourageant le partage des capacités (ressources matérielles et humaines) ;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– assurer, en cas d’indisponibilité des moyens nationaux, le recours le plus rapide possible aux moyens de secours d’urgence de l’autre Partie ;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283254">
        <w:rPr>
          <w:rFonts w:ascii="Arial" w:eastAsia="Times New Roman" w:hAnsi="Arial" w:cs="Arial"/>
          <w:bCs/>
          <w:lang w:eastAsia="fr-FR"/>
        </w:rPr>
        <w:t>– encourager la mutualisation des connaissances et des pratiques entre les personnels de santé des deux pays.</w:t>
      </w:r>
    </w:p>
    <w:p w:rsidR="00F36A94" w:rsidRPr="00283254" w:rsidRDefault="00F36A94" w:rsidP="00F36A9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8260C4" w:rsidRDefault="008260C4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BC1"/>
    <w:multiLevelType w:val="hybridMultilevel"/>
    <w:tmpl w:val="D82A4BD4"/>
    <w:lvl w:ilvl="0" w:tplc="6ACE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A94"/>
    <w:rsid w:val="004D686B"/>
    <w:rsid w:val="00510E44"/>
    <w:rsid w:val="008260C4"/>
    <w:rsid w:val="008E0AB4"/>
    <w:rsid w:val="00B25074"/>
    <w:rsid w:val="00B457D5"/>
    <w:rsid w:val="00D013C2"/>
    <w:rsid w:val="00F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70371A-0753-4557-834F-30B4A52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