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35" w:rsidRDefault="001D0C35" w:rsidP="001D0C35">
      <w:pPr>
        <w:spacing w:after="0" w:line="240" w:lineRule="auto"/>
        <w:jc w:val="both"/>
        <w:rPr>
          <w:rFonts w:ascii="Arial" w:hAnsi="Arial" w:cs="Arial"/>
          <w:b/>
          <w:bCs/>
          <w:i/>
          <w:iCs/>
          <w:sz w:val="24"/>
          <w:szCs w:val="24"/>
        </w:rPr>
      </w:pPr>
      <w:bookmarkStart w:id="0" w:name="_GoBack"/>
      <w:bookmarkEnd w:id="0"/>
    </w:p>
    <w:p w:rsidR="001D0C35" w:rsidRPr="0057315F" w:rsidRDefault="001D0C35" w:rsidP="001D0C35">
      <w:pPr>
        <w:spacing w:after="0" w:line="240" w:lineRule="auto"/>
        <w:jc w:val="center"/>
        <w:rPr>
          <w:rFonts w:ascii="Arial" w:eastAsia="Times New Roman" w:hAnsi="Arial" w:cs="Arial"/>
          <w:sz w:val="24"/>
          <w:szCs w:val="24"/>
          <w:lang w:eastAsia="fr-FR"/>
        </w:rPr>
      </w:pPr>
      <w:r w:rsidRPr="0057315F">
        <w:rPr>
          <w:rFonts w:ascii="Arial" w:eastAsia="Times New Roman" w:hAnsi="Arial" w:cs="Arial"/>
          <w:sz w:val="24"/>
          <w:szCs w:val="24"/>
          <w:lang w:eastAsia="fr-FR"/>
        </w:rPr>
        <w:t>N° 70</w:t>
      </w:r>
      <w:r>
        <w:rPr>
          <w:rFonts w:ascii="Arial" w:eastAsia="Times New Roman" w:hAnsi="Arial" w:cs="Arial"/>
          <w:sz w:val="24"/>
          <w:szCs w:val="24"/>
          <w:lang w:eastAsia="fr-FR"/>
        </w:rPr>
        <w:t>00</w:t>
      </w:r>
    </w:p>
    <w:p w:rsidR="001D0C35" w:rsidRPr="0057315F" w:rsidRDefault="001D0C35" w:rsidP="001D0C35">
      <w:pPr>
        <w:spacing w:after="0" w:line="240" w:lineRule="auto"/>
        <w:jc w:val="center"/>
        <w:rPr>
          <w:rFonts w:ascii="Arial" w:eastAsia="Times New Roman" w:hAnsi="Arial" w:cs="Arial"/>
          <w:lang w:eastAsia="fr-FR"/>
        </w:rPr>
      </w:pPr>
    </w:p>
    <w:p w:rsidR="001D0C35" w:rsidRPr="0057315F" w:rsidRDefault="001D0C35" w:rsidP="001D0C35">
      <w:pPr>
        <w:spacing w:after="0" w:line="240" w:lineRule="auto"/>
        <w:jc w:val="center"/>
        <w:rPr>
          <w:rFonts w:ascii="Arial" w:eastAsia="Times New Roman" w:hAnsi="Arial" w:cs="Arial"/>
          <w:lang w:eastAsia="fr-FR"/>
        </w:rPr>
      </w:pPr>
    </w:p>
    <w:p w:rsidR="001D0C35" w:rsidRPr="0057315F" w:rsidRDefault="001D0C35" w:rsidP="001D0C35">
      <w:pPr>
        <w:spacing w:after="0" w:line="240" w:lineRule="auto"/>
        <w:jc w:val="center"/>
        <w:rPr>
          <w:rFonts w:ascii="Arial" w:eastAsia="Times New Roman" w:hAnsi="Arial" w:cs="Arial"/>
          <w:b/>
          <w:sz w:val="28"/>
          <w:szCs w:val="28"/>
          <w:lang w:eastAsia="fr-FR"/>
        </w:rPr>
      </w:pPr>
      <w:r w:rsidRPr="0057315F">
        <w:rPr>
          <w:rFonts w:ascii="Arial" w:eastAsia="Times New Roman" w:hAnsi="Arial" w:cs="Arial"/>
          <w:b/>
          <w:sz w:val="28"/>
          <w:szCs w:val="28"/>
          <w:lang w:eastAsia="fr-FR"/>
        </w:rPr>
        <w:t>CHAMBRE DES DÉPUTÉS</w:t>
      </w:r>
    </w:p>
    <w:p w:rsidR="001D0C35" w:rsidRPr="0057315F" w:rsidRDefault="001D0C35" w:rsidP="001D0C35">
      <w:pPr>
        <w:spacing w:after="0" w:line="240" w:lineRule="auto"/>
        <w:jc w:val="center"/>
        <w:rPr>
          <w:rFonts w:ascii="Arial" w:eastAsia="Times New Roman" w:hAnsi="Arial" w:cs="Arial"/>
          <w:lang w:eastAsia="fr-FR"/>
        </w:rPr>
      </w:pPr>
    </w:p>
    <w:p w:rsidR="001D0C35" w:rsidRPr="0057315F" w:rsidRDefault="001D0C35" w:rsidP="001D0C35">
      <w:pPr>
        <w:pBdr>
          <w:bottom w:val="single" w:sz="12" w:space="1" w:color="auto"/>
        </w:pBdr>
        <w:spacing w:after="0" w:line="240" w:lineRule="auto"/>
        <w:jc w:val="center"/>
        <w:rPr>
          <w:rFonts w:ascii="Arial" w:eastAsia="Times New Roman" w:hAnsi="Arial" w:cs="Arial"/>
          <w:sz w:val="24"/>
          <w:szCs w:val="24"/>
          <w:lang w:eastAsia="fr-FR"/>
        </w:rPr>
      </w:pPr>
      <w:r w:rsidRPr="0057315F">
        <w:rPr>
          <w:rFonts w:ascii="Arial" w:eastAsia="Times New Roman" w:hAnsi="Arial" w:cs="Arial"/>
          <w:sz w:val="24"/>
          <w:szCs w:val="24"/>
          <w:lang w:eastAsia="fr-FR"/>
        </w:rPr>
        <w:t>Session ordinaire 2017 - 2018</w:t>
      </w:r>
    </w:p>
    <w:p w:rsidR="001D0C35" w:rsidRPr="00AC024E" w:rsidRDefault="001D0C35" w:rsidP="001D0C35">
      <w:pPr>
        <w:spacing w:after="0" w:line="240" w:lineRule="auto"/>
        <w:jc w:val="both"/>
        <w:rPr>
          <w:rFonts w:ascii="Arial" w:eastAsia="Times New Roman" w:hAnsi="Arial" w:cs="Arial"/>
          <w:highlight w:val="yellow"/>
          <w:lang w:eastAsia="fr-FR"/>
        </w:rPr>
      </w:pPr>
    </w:p>
    <w:p w:rsidR="001D0C35" w:rsidRPr="00AC024E" w:rsidRDefault="001D0C35" w:rsidP="001D0C35">
      <w:pPr>
        <w:spacing w:after="0" w:line="240" w:lineRule="auto"/>
        <w:jc w:val="center"/>
        <w:rPr>
          <w:rFonts w:ascii="Arial" w:eastAsia="Times New Roman" w:hAnsi="Arial" w:cs="Arial"/>
          <w:b/>
          <w:bCs/>
          <w:sz w:val="24"/>
          <w:szCs w:val="24"/>
          <w:highlight w:val="yellow"/>
          <w:lang w:eastAsia="fr-FR"/>
        </w:rPr>
      </w:pPr>
    </w:p>
    <w:p w:rsidR="001D0C35" w:rsidRPr="00541190" w:rsidRDefault="001D0C35" w:rsidP="001D0C35">
      <w:pPr>
        <w:spacing w:after="0" w:line="240" w:lineRule="auto"/>
        <w:jc w:val="center"/>
        <w:rPr>
          <w:rFonts w:ascii="Arial" w:eastAsia="Times New Roman" w:hAnsi="Arial" w:cs="Arial"/>
          <w:b/>
          <w:bCs/>
          <w:sz w:val="24"/>
          <w:szCs w:val="24"/>
          <w:lang w:eastAsia="fr-FR"/>
        </w:rPr>
      </w:pPr>
      <w:r w:rsidRPr="00541190">
        <w:rPr>
          <w:rFonts w:ascii="Arial" w:eastAsia="Times New Roman" w:hAnsi="Arial" w:cs="Arial"/>
          <w:b/>
          <w:bCs/>
          <w:sz w:val="24"/>
          <w:szCs w:val="24"/>
          <w:lang w:eastAsia="fr-FR"/>
        </w:rPr>
        <w:t xml:space="preserve">Projet de loi sur les conditions d'hygiène et de salubrité relatives à la pratique des techniques de tatouage par effraction cutanée, du perçage, du </w:t>
      </w:r>
      <w:proofErr w:type="spellStart"/>
      <w:r w:rsidRPr="00541190">
        <w:rPr>
          <w:rFonts w:ascii="Arial" w:eastAsia="Times New Roman" w:hAnsi="Arial" w:cs="Arial"/>
          <w:b/>
          <w:bCs/>
          <w:sz w:val="24"/>
          <w:szCs w:val="24"/>
          <w:lang w:eastAsia="fr-FR"/>
        </w:rPr>
        <w:t>branding</w:t>
      </w:r>
      <w:proofErr w:type="spellEnd"/>
      <w:r w:rsidRPr="00541190">
        <w:rPr>
          <w:rFonts w:ascii="Arial" w:eastAsia="Times New Roman" w:hAnsi="Arial" w:cs="Arial"/>
          <w:b/>
          <w:bCs/>
          <w:sz w:val="24"/>
          <w:szCs w:val="24"/>
          <w:lang w:eastAsia="fr-FR"/>
        </w:rPr>
        <w:t xml:space="preserve">, </w:t>
      </w:r>
      <w:proofErr w:type="spellStart"/>
      <w:r w:rsidRPr="00541190">
        <w:rPr>
          <w:rFonts w:ascii="Arial" w:eastAsia="Times New Roman" w:hAnsi="Arial" w:cs="Arial"/>
          <w:b/>
          <w:bCs/>
          <w:sz w:val="24"/>
          <w:szCs w:val="24"/>
          <w:lang w:eastAsia="fr-FR"/>
        </w:rPr>
        <w:t>cutting</w:t>
      </w:r>
      <w:proofErr w:type="spellEnd"/>
      <w:r w:rsidRPr="00541190">
        <w:rPr>
          <w:rFonts w:ascii="Arial" w:eastAsia="Times New Roman" w:hAnsi="Arial" w:cs="Arial"/>
          <w:b/>
          <w:bCs/>
          <w:sz w:val="24"/>
          <w:szCs w:val="24"/>
          <w:lang w:eastAsia="fr-FR"/>
        </w:rPr>
        <w:t>, ainsi que du bronzage UV</w:t>
      </w:r>
    </w:p>
    <w:p w:rsidR="001D0C35" w:rsidRPr="00541190" w:rsidRDefault="001D0C35" w:rsidP="001D0C35">
      <w:pPr>
        <w:spacing w:after="0" w:line="240" w:lineRule="auto"/>
        <w:jc w:val="center"/>
        <w:rPr>
          <w:rFonts w:ascii="Arial" w:eastAsia="Times New Roman" w:hAnsi="Arial" w:cs="Arial"/>
          <w:b/>
          <w:bCs/>
          <w:sz w:val="24"/>
          <w:szCs w:val="24"/>
          <w:lang w:eastAsia="fr-FR"/>
        </w:rPr>
      </w:pPr>
    </w:p>
    <w:p w:rsidR="001D0C35" w:rsidRPr="00541190" w:rsidRDefault="001D0C35" w:rsidP="001D0C35">
      <w:pPr>
        <w:spacing w:after="0" w:line="240" w:lineRule="auto"/>
        <w:jc w:val="center"/>
        <w:rPr>
          <w:rFonts w:ascii="Arial" w:eastAsia="Times New Roman" w:hAnsi="Arial" w:cs="Arial"/>
          <w:b/>
          <w:sz w:val="24"/>
          <w:szCs w:val="24"/>
          <w:lang w:eastAsia="fr-FR"/>
        </w:rPr>
      </w:pPr>
      <w:r w:rsidRPr="00541190">
        <w:rPr>
          <w:rFonts w:ascii="Arial" w:eastAsia="Times New Roman" w:hAnsi="Arial" w:cs="Arial"/>
          <w:b/>
          <w:sz w:val="20"/>
          <w:szCs w:val="24"/>
          <w:lang w:eastAsia="fr-FR"/>
        </w:rPr>
        <w:t>* * *</w:t>
      </w:r>
    </w:p>
    <w:p w:rsidR="001D0C35" w:rsidRDefault="001D0C35" w:rsidP="001D0C35">
      <w:pPr>
        <w:spacing w:after="0" w:line="240" w:lineRule="auto"/>
        <w:jc w:val="center"/>
        <w:rPr>
          <w:rFonts w:ascii="Arial" w:eastAsia="Times New Roman" w:hAnsi="Arial" w:cs="Arial"/>
          <w:b/>
          <w:sz w:val="32"/>
          <w:szCs w:val="32"/>
          <w:lang w:eastAsia="fr-FR"/>
        </w:rPr>
      </w:pPr>
    </w:p>
    <w:p w:rsidR="001D0C35" w:rsidRDefault="001D0C35" w:rsidP="001D0C35">
      <w:pPr>
        <w:spacing w:after="0" w:line="240" w:lineRule="auto"/>
        <w:jc w:val="center"/>
        <w:rPr>
          <w:rFonts w:ascii="Arial" w:eastAsia="Times New Roman" w:hAnsi="Arial" w:cs="Arial"/>
          <w:b/>
          <w:sz w:val="32"/>
          <w:szCs w:val="32"/>
          <w:lang w:eastAsia="fr-FR"/>
        </w:rPr>
      </w:pPr>
      <w:r>
        <w:rPr>
          <w:rFonts w:ascii="Arial" w:eastAsia="Times New Roman" w:hAnsi="Arial" w:cs="Arial"/>
          <w:b/>
          <w:sz w:val="32"/>
          <w:szCs w:val="32"/>
          <w:lang w:eastAsia="fr-FR"/>
        </w:rPr>
        <w:t>RESUME</w:t>
      </w:r>
    </w:p>
    <w:p w:rsidR="001D0C35" w:rsidRDefault="001D0C35" w:rsidP="001D0C35">
      <w:pPr>
        <w:spacing w:after="0" w:line="240" w:lineRule="auto"/>
        <w:jc w:val="center"/>
        <w:rPr>
          <w:rFonts w:ascii="Arial" w:eastAsia="Times New Roman" w:hAnsi="Arial" w:cs="Arial"/>
          <w:b/>
          <w:bCs/>
          <w:color w:val="FF0000"/>
          <w:sz w:val="48"/>
          <w:szCs w:val="48"/>
          <w:lang w:eastAsia="fr-FR"/>
        </w:rPr>
      </w:pPr>
    </w:p>
    <w:p w:rsidR="001D0C35" w:rsidRDefault="001D0C35" w:rsidP="001D0C35">
      <w:pPr>
        <w:spacing w:after="0" w:line="240" w:lineRule="auto"/>
        <w:jc w:val="both"/>
        <w:rPr>
          <w:rFonts w:ascii="Arial" w:hAnsi="Arial" w:cs="Arial"/>
          <w:bCs/>
        </w:rPr>
      </w:pP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sidRPr="00FD38F0">
        <w:rPr>
          <w:rFonts w:ascii="Arial" w:hAnsi="Arial" w:cs="Arial"/>
          <w:bCs/>
        </w:rPr>
        <w:t>Le présent projet de loi a pour objet</w:t>
      </w:r>
      <w:r w:rsidRPr="00FD38F0">
        <w:t xml:space="preserve"> </w:t>
      </w:r>
      <w:r w:rsidRPr="00FD38F0">
        <w:rPr>
          <w:rFonts w:ascii="Arial" w:hAnsi="Arial" w:cs="Arial"/>
          <w:bCs/>
        </w:rPr>
        <w:t xml:space="preserve">d’encadrer les activités de tatouage, de perçage, de </w:t>
      </w:r>
      <w:proofErr w:type="spellStart"/>
      <w:r w:rsidRPr="00FD38F0">
        <w:rPr>
          <w:rFonts w:ascii="Arial" w:hAnsi="Arial" w:cs="Arial"/>
          <w:bCs/>
        </w:rPr>
        <w:t>branding</w:t>
      </w:r>
      <w:proofErr w:type="spellEnd"/>
      <w:r w:rsidRPr="00FD38F0">
        <w:rPr>
          <w:rFonts w:ascii="Arial" w:hAnsi="Arial" w:cs="Arial"/>
          <w:bCs/>
        </w:rPr>
        <w:t xml:space="preserve"> et de </w:t>
      </w:r>
      <w:proofErr w:type="spellStart"/>
      <w:r w:rsidRPr="00FD38F0">
        <w:rPr>
          <w:rFonts w:ascii="Arial" w:hAnsi="Arial" w:cs="Arial"/>
          <w:bCs/>
        </w:rPr>
        <w:t>cutting</w:t>
      </w:r>
      <w:proofErr w:type="spellEnd"/>
      <w:r w:rsidRPr="00FD38F0">
        <w:rPr>
          <w:rFonts w:ascii="Arial" w:hAnsi="Arial" w:cs="Arial"/>
          <w:bCs/>
        </w:rPr>
        <w:t xml:space="preserve">. </w:t>
      </w: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sidRPr="00FD38F0">
        <w:rPr>
          <w:rFonts w:ascii="Arial" w:hAnsi="Arial" w:cs="Arial"/>
          <w:bCs/>
        </w:rPr>
        <w:t>D’autre part, le projet de loi vise à encadrer la vente et la mise à disposition d’appareils de bronzage UV.</w:t>
      </w: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sidRPr="00FD38F0">
        <w:rPr>
          <w:rFonts w:ascii="Arial" w:hAnsi="Arial" w:cs="Arial"/>
          <w:bCs/>
        </w:rPr>
        <w:t>Plus particulièrement, le projet de loi tend à protéger les mineurs</w:t>
      </w:r>
      <w:r>
        <w:rPr>
          <w:rFonts w:ascii="Arial" w:hAnsi="Arial" w:cs="Arial"/>
          <w:bCs/>
        </w:rPr>
        <w:t>.</w:t>
      </w: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sidRPr="00FD38F0">
        <w:rPr>
          <w:rFonts w:ascii="Arial" w:hAnsi="Arial" w:cs="Arial"/>
          <w:bCs/>
        </w:rPr>
        <w:t>La nécessité d’une réglementation dans ces domaines s’explique par le fait que ces activités impliquent des gestes, des actes et des techniques qui comportent certains risques pour la santé si elles ne sont pas réalisées selon les règles de l’art.</w:t>
      </w: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Pr>
          <w:rFonts w:ascii="Arial" w:hAnsi="Arial" w:cs="Arial"/>
          <w:bCs/>
        </w:rPr>
        <w:t>D</w:t>
      </w:r>
      <w:r w:rsidRPr="00FD38F0">
        <w:rPr>
          <w:rFonts w:ascii="Arial" w:hAnsi="Arial" w:cs="Arial"/>
          <w:bCs/>
        </w:rPr>
        <w:t>es risques d’effets nocifs peuvent varier de simples infections jusqu’au risque de transmission d'une maladie virale comme le sida ou l’hépatite.</w:t>
      </w: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sidRPr="00FD38F0">
        <w:rPr>
          <w:rFonts w:ascii="Arial" w:hAnsi="Arial" w:cs="Arial"/>
          <w:bCs/>
        </w:rPr>
        <w:t>L’obligation de notification de ces activités est nécessaire, lorsqu’il s’agit d’informer les tatoueurs d’une mise en garde RAPEX (système d'échange d'informations au niveau européen concernant les produits pouvant mettre en danger la santé et la sécurité des personnes).</w:t>
      </w: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sidRPr="00FD38F0">
        <w:rPr>
          <w:rFonts w:ascii="Arial" w:hAnsi="Arial" w:cs="Arial"/>
          <w:bCs/>
        </w:rPr>
        <w:t xml:space="preserve">Désormais, le professionnel devra suivre préalablement à sa déclaration d’activité une formation spécifique au sujet des règles en matière d’hygiène et de salubrité permettant d’éviter une infection à l’occasion de l’exercice des activités de tatouage, de perçage, de </w:t>
      </w:r>
      <w:proofErr w:type="spellStart"/>
      <w:r w:rsidRPr="00FD38F0">
        <w:rPr>
          <w:rFonts w:ascii="Arial" w:hAnsi="Arial" w:cs="Arial"/>
          <w:bCs/>
        </w:rPr>
        <w:t>branding</w:t>
      </w:r>
      <w:proofErr w:type="spellEnd"/>
      <w:r w:rsidRPr="00FD38F0">
        <w:rPr>
          <w:rFonts w:ascii="Arial" w:hAnsi="Arial" w:cs="Arial"/>
          <w:bCs/>
        </w:rPr>
        <w:t xml:space="preserve"> et de </w:t>
      </w:r>
      <w:proofErr w:type="spellStart"/>
      <w:r w:rsidRPr="00FD38F0">
        <w:rPr>
          <w:rFonts w:ascii="Arial" w:hAnsi="Arial" w:cs="Arial"/>
          <w:bCs/>
        </w:rPr>
        <w:t>cutting</w:t>
      </w:r>
      <w:proofErr w:type="spellEnd"/>
      <w:r w:rsidRPr="00FD38F0">
        <w:rPr>
          <w:rFonts w:ascii="Arial" w:hAnsi="Arial" w:cs="Arial"/>
          <w:bCs/>
        </w:rPr>
        <w:t>.</w:t>
      </w: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sidRPr="00FD38F0">
        <w:rPr>
          <w:rFonts w:ascii="Arial" w:hAnsi="Arial" w:cs="Arial"/>
          <w:bCs/>
        </w:rPr>
        <w:t>Les conditions auxquelles doivent répondre les encres de tatouage, ainsi que les tiges employées lors d’un perçage, sont également fixées.</w:t>
      </w: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sidRPr="00FD38F0">
        <w:rPr>
          <w:rFonts w:ascii="Arial" w:hAnsi="Arial" w:cs="Arial"/>
          <w:bCs/>
        </w:rPr>
        <w:t>À noter que pour l’usage du pistolet perce-oreille pour le lobule de l’oreille par les bijoutiers-orfèvres, ces derniers n’ont pas besoin de suivre la formation relative aux conditions d’hygiène et de salubrité.</w:t>
      </w:r>
    </w:p>
    <w:p w:rsidR="001D0C35" w:rsidRDefault="001D0C35" w:rsidP="001D0C35">
      <w:pPr>
        <w:spacing w:after="0" w:line="240" w:lineRule="auto"/>
        <w:jc w:val="both"/>
        <w:rPr>
          <w:rFonts w:ascii="Arial" w:hAnsi="Arial" w:cs="Arial"/>
          <w:bCs/>
        </w:rPr>
      </w:pPr>
    </w:p>
    <w:p w:rsidR="001D0C35" w:rsidRPr="00FD38F0" w:rsidRDefault="001D0C35" w:rsidP="001D0C35">
      <w:pPr>
        <w:spacing w:after="0" w:line="240" w:lineRule="auto"/>
        <w:jc w:val="both"/>
        <w:rPr>
          <w:rFonts w:ascii="Arial" w:hAnsi="Arial" w:cs="Arial"/>
          <w:bCs/>
        </w:rPr>
      </w:pPr>
      <w:r w:rsidRPr="00FD38F0">
        <w:rPr>
          <w:rFonts w:ascii="Arial" w:hAnsi="Arial" w:cs="Arial"/>
          <w:bCs/>
        </w:rPr>
        <w:lastRenderedPageBreak/>
        <w:t>Les personnes qui mettent à disposition du public des appareils de bronzage UV doivent également avoir suivi une formation d’au moins 8 heures aux conditions d’hygiène et de protection contre les rayonnements ultraviolets.</w:t>
      </w:r>
    </w:p>
    <w:p w:rsidR="001D0C35" w:rsidRDefault="001D0C35" w:rsidP="001D0C35">
      <w:pPr>
        <w:spacing w:after="0" w:line="240" w:lineRule="auto"/>
        <w:jc w:val="both"/>
        <w:rPr>
          <w:rFonts w:ascii="Arial" w:hAnsi="Arial" w:cs="Arial"/>
          <w:color w:val="000000"/>
        </w:rPr>
      </w:pPr>
      <w:bookmarkStart w:id="1" w:name="_Hlk503885100"/>
      <w:bookmarkStart w:id="2" w:name="_Hlk503885115"/>
    </w:p>
    <w:p w:rsidR="001D0C35" w:rsidRPr="00FD38F0" w:rsidRDefault="001D0C35" w:rsidP="001D0C35">
      <w:pPr>
        <w:spacing w:after="0" w:line="240" w:lineRule="auto"/>
        <w:jc w:val="both"/>
        <w:rPr>
          <w:rFonts w:ascii="Arial" w:hAnsi="Arial" w:cs="Arial"/>
          <w:color w:val="000000"/>
        </w:rPr>
      </w:pPr>
      <w:r w:rsidRPr="00FD38F0">
        <w:rPr>
          <w:rFonts w:ascii="Arial" w:hAnsi="Arial" w:cs="Arial"/>
          <w:color w:val="000000"/>
        </w:rPr>
        <w:t xml:space="preserve">Considérant qu’une telle modification corporelle n’est que difficilement réversible, le texte prévoit également l’obligation d’un entretien préalable sur les risques et conséquences de ces techniques, dont l’objectif est d’informer le client qu’il ne s’agit aucunement d’un acte anodin. </w:t>
      </w:r>
    </w:p>
    <w:p w:rsidR="001D0C35" w:rsidRDefault="001D0C35" w:rsidP="001D0C35">
      <w:pPr>
        <w:spacing w:after="0" w:line="240" w:lineRule="auto"/>
        <w:jc w:val="both"/>
        <w:rPr>
          <w:rFonts w:ascii="Arial" w:hAnsi="Arial" w:cs="Arial"/>
          <w:color w:val="000000"/>
        </w:rPr>
      </w:pPr>
    </w:p>
    <w:p w:rsidR="001D0C35" w:rsidRPr="00FD38F0" w:rsidRDefault="001D0C35" w:rsidP="001D0C35">
      <w:pPr>
        <w:spacing w:after="0" w:line="240" w:lineRule="auto"/>
        <w:jc w:val="both"/>
        <w:rPr>
          <w:rFonts w:ascii="Arial" w:hAnsi="Arial" w:cs="Arial"/>
          <w:color w:val="000000"/>
        </w:rPr>
      </w:pPr>
      <w:r w:rsidRPr="00FD38F0">
        <w:rPr>
          <w:rFonts w:ascii="Arial" w:hAnsi="Arial" w:cs="Arial"/>
          <w:color w:val="000000"/>
        </w:rPr>
        <w:t xml:space="preserve">Parallèlement, la pratique de </w:t>
      </w:r>
      <w:proofErr w:type="spellStart"/>
      <w:r w:rsidRPr="00FD38F0">
        <w:rPr>
          <w:rFonts w:ascii="Arial" w:hAnsi="Arial" w:cs="Arial"/>
          <w:color w:val="000000"/>
        </w:rPr>
        <w:t>branding</w:t>
      </w:r>
      <w:proofErr w:type="spellEnd"/>
      <w:r w:rsidRPr="00FD38F0">
        <w:rPr>
          <w:rFonts w:ascii="Arial" w:hAnsi="Arial" w:cs="Arial"/>
          <w:color w:val="000000"/>
        </w:rPr>
        <w:t xml:space="preserve"> et de </w:t>
      </w:r>
      <w:proofErr w:type="spellStart"/>
      <w:r w:rsidRPr="00FD38F0">
        <w:rPr>
          <w:rFonts w:ascii="Arial" w:hAnsi="Arial" w:cs="Arial"/>
          <w:color w:val="000000"/>
        </w:rPr>
        <w:t>cutting</w:t>
      </w:r>
      <w:proofErr w:type="spellEnd"/>
      <w:r w:rsidRPr="00FD38F0">
        <w:rPr>
          <w:rFonts w:ascii="Arial" w:hAnsi="Arial" w:cs="Arial"/>
          <w:color w:val="000000"/>
        </w:rPr>
        <w:t xml:space="preserve"> sur des personnes mineures sera interdite. </w:t>
      </w:r>
    </w:p>
    <w:p w:rsidR="001D0C35" w:rsidRDefault="001D0C35" w:rsidP="001D0C35">
      <w:pPr>
        <w:spacing w:after="0" w:line="240" w:lineRule="auto"/>
        <w:jc w:val="both"/>
        <w:rPr>
          <w:rFonts w:ascii="Arial" w:hAnsi="Arial" w:cs="Arial"/>
          <w:color w:val="000000"/>
        </w:rPr>
      </w:pPr>
    </w:p>
    <w:p w:rsidR="001D0C35" w:rsidRPr="00FD38F0" w:rsidRDefault="001D0C35" w:rsidP="001D0C35">
      <w:pPr>
        <w:spacing w:after="0" w:line="240" w:lineRule="auto"/>
        <w:jc w:val="both"/>
        <w:rPr>
          <w:rFonts w:ascii="Arial" w:hAnsi="Arial" w:cs="Arial"/>
          <w:color w:val="000000"/>
        </w:rPr>
      </w:pPr>
      <w:r w:rsidRPr="00FD38F0">
        <w:rPr>
          <w:rFonts w:ascii="Arial" w:hAnsi="Arial" w:cs="Arial"/>
          <w:color w:val="000000"/>
        </w:rPr>
        <w:t xml:space="preserve">Finalement, la Commission de la Santé a </w:t>
      </w:r>
      <w:bookmarkStart w:id="3" w:name="_Hlk504560654"/>
      <w:r w:rsidRPr="00FD38F0">
        <w:rPr>
          <w:rFonts w:ascii="Arial" w:hAnsi="Arial" w:cs="Arial"/>
          <w:color w:val="000000"/>
        </w:rPr>
        <w:t xml:space="preserve">choisi de fixer l’âge légal pour se faire tatouer ou percer (à l’exception du perçage du lobule de l’oreille) à seize ans. </w:t>
      </w:r>
    </w:p>
    <w:p w:rsidR="001D0C35" w:rsidRDefault="001D0C35" w:rsidP="001D0C35">
      <w:pPr>
        <w:spacing w:after="0" w:line="240" w:lineRule="auto"/>
        <w:jc w:val="both"/>
        <w:rPr>
          <w:rFonts w:ascii="Arial" w:hAnsi="Arial" w:cs="Arial"/>
          <w:color w:val="000000"/>
        </w:rPr>
      </w:pPr>
    </w:p>
    <w:p w:rsidR="001D0C35" w:rsidRPr="00FD38F0" w:rsidRDefault="001D0C35" w:rsidP="001D0C35">
      <w:pPr>
        <w:spacing w:after="0" w:line="240" w:lineRule="auto"/>
        <w:jc w:val="both"/>
        <w:rPr>
          <w:rFonts w:ascii="Arial" w:hAnsi="Arial" w:cs="Arial"/>
          <w:color w:val="000000"/>
        </w:rPr>
      </w:pPr>
      <w:r w:rsidRPr="00FD38F0">
        <w:rPr>
          <w:rFonts w:ascii="Arial" w:hAnsi="Arial" w:cs="Arial"/>
          <w:color w:val="000000"/>
        </w:rPr>
        <w:t>Au-delà de seize ans et jusqu’à l’âge de dix-huit ans, une autorisation parentale est nécessaire pour se faire faire un tatouage ou un perçage.</w:t>
      </w:r>
    </w:p>
    <w:bookmarkEnd w:id="3"/>
    <w:p w:rsidR="001D0C35" w:rsidRDefault="001D0C35" w:rsidP="001D0C35">
      <w:pPr>
        <w:spacing w:after="0" w:line="240" w:lineRule="auto"/>
        <w:jc w:val="both"/>
        <w:rPr>
          <w:rFonts w:ascii="Arial" w:hAnsi="Arial" w:cs="Arial"/>
          <w:color w:val="000000"/>
        </w:rPr>
      </w:pPr>
    </w:p>
    <w:p w:rsidR="001D0C35" w:rsidRPr="00FD38F0" w:rsidRDefault="001D0C35" w:rsidP="001D0C35">
      <w:pPr>
        <w:spacing w:after="0" w:line="240" w:lineRule="auto"/>
        <w:jc w:val="both"/>
        <w:rPr>
          <w:rFonts w:ascii="Arial" w:hAnsi="Arial" w:cs="Arial"/>
          <w:color w:val="000000"/>
        </w:rPr>
      </w:pPr>
      <w:r>
        <w:rPr>
          <w:rFonts w:ascii="Arial" w:hAnsi="Arial" w:cs="Arial"/>
          <w:color w:val="000000"/>
        </w:rPr>
        <w:t xml:space="preserve">Par ailleurs pour ce qui est du </w:t>
      </w:r>
      <w:r w:rsidRPr="001D0C35">
        <w:rPr>
          <w:rFonts w:ascii="Arial" w:hAnsi="Arial" w:cs="Arial"/>
          <w:color w:val="000000"/>
        </w:rPr>
        <w:t>bronzage UV cancérogène</w:t>
      </w:r>
      <w:r w:rsidRPr="00FD38F0">
        <w:rPr>
          <w:rFonts w:ascii="Arial" w:hAnsi="Arial" w:cs="Arial"/>
          <w:color w:val="000000"/>
        </w:rPr>
        <w:t xml:space="preserve">, le Luxembourg entend interdire la mise à disposition et la vente d’appareils de bronzage UV à des mineurs. </w:t>
      </w:r>
    </w:p>
    <w:p w:rsidR="001D0C35" w:rsidRDefault="001D0C35" w:rsidP="001D0C35">
      <w:pPr>
        <w:spacing w:after="0" w:line="240" w:lineRule="auto"/>
        <w:jc w:val="both"/>
        <w:rPr>
          <w:rFonts w:ascii="Arial" w:hAnsi="Arial" w:cs="Arial"/>
          <w:color w:val="000000"/>
        </w:rPr>
      </w:pPr>
    </w:p>
    <w:p w:rsidR="001D0C35" w:rsidRPr="00FD38F0" w:rsidRDefault="001D0C35" w:rsidP="001D0C35">
      <w:pPr>
        <w:spacing w:after="0" w:line="240" w:lineRule="auto"/>
        <w:jc w:val="both"/>
        <w:rPr>
          <w:rFonts w:ascii="Arial" w:hAnsi="Arial" w:cs="Arial"/>
          <w:color w:val="000000"/>
        </w:rPr>
      </w:pPr>
      <w:r w:rsidRPr="00FD38F0">
        <w:rPr>
          <w:rFonts w:ascii="Arial" w:hAnsi="Arial" w:cs="Arial"/>
          <w:color w:val="000000"/>
        </w:rPr>
        <w:t>Une telle interdiction est actuellement déjà en place dans divers pays de l’Union européenne, tandis que d’autres États sont en train de finaliser une telle interdiction.</w:t>
      </w:r>
    </w:p>
    <w:p w:rsidR="001D0C35" w:rsidRDefault="001D0C35" w:rsidP="001D0C35">
      <w:pPr>
        <w:spacing w:after="0" w:line="240" w:lineRule="auto"/>
        <w:jc w:val="both"/>
        <w:rPr>
          <w:rFonts w:ascii="Arial" w:hAnsi="Arial" w:cs="Arial"/>
          <w:color w:val="000000"/>
        </w:rPr>
      </w:pPr>
    </w:p>
    <w:p w:rsidR="001D0C35" w:rsidRPr="00FD38F0" w:rsidRDefault="001D0C35" w:rsidP="001D0C35">
      <w:pPr>
        <w:spacing w:after="0" w:line="240" w:lineRule="auto"/>
        <w:jc w:val="both"/>
        <w:rPr>
          <w:rFonts w:ascii="Arial" w:hAnsi="Arial" w:cs="Arial"/>
          <w:color w:val="000000"/>
        </w:rPr>
      </w:pPr>
      <w:r w:rsidRPr="00FD38F0">
        <w:rPr>
          <w:rFonts w:ascii="Arial" w:hAnsi="Arial" w:cs="Arial"/>
          <w:color w:val="000000"/>
        </w:rPr>
        <w:t>Par ailleurs, le texte proposé introduit toute une série de règles pour entourer l’utilisation et la mise à disposition d’appareils de bronzage UV pour les clients adultes.</w:t>
      </w:r>
    </w:p>
    <w:bookmarkEnd w:id="1"/>
    <w:bookmarkEnd w:id="2"/>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C35"/>
    <w:rsid w:val="001D0C35"/>
    <w:rsid w:val="004D686B"/>
    <w:rsid w:val="00510E44"/>
    <w:rsid w:val="007B236F"/>
    <w:rsid w:val="008260C4"/>
    <w:rsid w:val="008E0AB4"/>
    <w:rsid w:val="00C87F10"/>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70615D-16D4-4D0D-B88F-F6B02C5B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2811</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2024-02-21T07:53:00Z</dcterms:created>
  <dcterms:modified xsi:type="dcterms:W3CDTF">2024-02-21T07:53:00Z</dcterms:modified>
</cp:coreProperties>
</file>