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43" w:rsidRPr="00CC391C" w:rsidRDefault="00CE3B43" w:rsidP="00CC391C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b/>
          <w:lang w:eastAsia="fr-LU"/>
        </w:rPr>
      </w:pPr>
      <w:bookmarkStart w:id="0" w:name="_GoBack"/>
      <w:bookmarkEnd w:id="0"/>
      <w:r w:rsidRPr="00CC391C">
        <w:rPr>
          <w:rFonts w:ascii="Arial" w:hAnsi="Arial" w:cs="Arial"/>
          <w:b/>
          <w:lang w:eastAsia="fr-LU"/>
        </w:rPr>
        <w:t>7111 : résumé</w:t>
      </w:r>
    </w:p>
    <w:p w:rsidR="00CE3B43" w:rsidRPr="00CC391C" w:rsidRDefault="00CE3B43" w:rsidP="00CC391C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lang w:eastAsia="fr-LU"/>
        </w:rPr>
      </w:pPr>
    </w:p>
    <w:p w:rsidR="00CE3B43" w:rsidRPr="00CC391C" w:rsidRDefault="00CE3B43" w:rsidP="00CC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CC391C">
        <w:rPr>
          <w:rFonts w:ascii="Arial" w:hAnsi="Arial" w:cs="Arial"/>
          <w:lang w:eastAsia="fr-LU"/>
        </w:rPr>
        <w:t>Le projet de loi a pour objet d'adapter le cadre légal établi par la</w:t>
      </w:r>
      <w:r w:rsidR="00CC391C" w:rsidRP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>loi modifiée du 25 juillet 2015 portant création du système de contrôle et de sanction</w:t>
      </w:r>
      <w:r w:rsidR="00CC391C" w:rsidRP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>automatisés, sur différents points et ceci notamment aux fins de désengorgement des instances</w:t>
      </w:r>
      <w:r w:rsidR="00CC391C" w:rsidRP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>judiciaires et de simplification administrative.</w:t>
      </w:r>
      <w:r w:rsid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>Les points principaux consistent dans une clarification du régime de</w:t>
      </w:r>
      <w:r w:rsidR="00CC391C" w:rsidRP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>condamnation de la personne pécuniairement redevable, l'introduction d'un</w:t>
      </w:r>
      <w:r w:rsidR="00CC391C" w:rsidRP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>mécanisme d'amende forfaitaire exécutée sur titre exécutoire du procureur</w:t>
      </w:r>
      <w:r w:rsidR="00CC391C" w:rsidRP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>général d'État, une réforme de la procédure de contestation, l'introduction</w:t>
      </w:r>
      <w:r w:rsidR="00CC391C" w:rsidRP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>de nouvelles obligations quant à la désignation du conducteur par le</w:t>
      </w:r>
      <w:r w:rsidR="00CC391C" w:rsidRP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>représentant légal d'une personne morale et l'introduction de nouvelles</w:t>
      </w:r>
      <w:r w:rsidR="00CC391C" w:rsidRPr="00CC391C">
        <w:rPr>
          <w:rFonts w:ascii="Arial" w:hAnsi="Arial" w:cs="Arial"/>
          <w:lang w:eastAsia="fr-LU"/>
        </w:rPr>
        <w:t xml:space="preserve"> </w:t>
      </w:r>
      <w:r w:rsidRPr="00CC391C">
        <w:rPr>
          <w:rFonts w:ascii="Arial" w:hAnsi="Arial" w:cs="Arial"/>
          <w:lang w:eastAsia="fr-LU"/>
        </w:rPr>
        <w:t xml:space="preserve">dispositions pénales en cas de fausse déclaration ou refus de coopération. </w:t>
      </w:r>
    </w:p>
    <w:p w:rsidR="00CE3B43" w:rsidRPr="00CC391C" w:rsidRDefault="00CE3B43" w:rsidP="00CC391C">
      <w:pPr>
        <w:jc w:val="both"/>
        <w:rPr>
          <w:rFonts w:ascii="Arial" w:hAnsi="Arial" w:cs="Arial"/>
        </w:rPr>
      </w:pPr>
    </w:p>
    <w:sectPr w:rsidR="00CE3B43" w:rsidRPr="00CC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B43"/>
    <w:rsid w:val="002C6AE7"/>
    <w:rsid w:val="007E0D67"/>
    <w:rsid w:val="008B3220"/>
    <w:rsid w:val="00CC391C"/>
    <w:rsid w:val="00CE3B43"/>
    <w:rsid w:val="00D74EAD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DE1FD5-89BD-4795-B413-1C34D87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E3B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2017-09-12T07:35:00Z</cp:lastPrinted>
  <dcterms:created xsi:type="dcterms:W3CDTF">2024-02-21T07:53:00Z</dcterms:created>
  <dcterms:modified xsi:type="dcterms:W3CDTF">2024-02-21T07:53:00Z</dcterms:modified>
</cp:coreProperties>
</file>