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D7" w:rsidRPr="002B61D7" w:rsidRDefault="002B61D7" w:rsidP="002B61D7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eastAsia="en-GB"/>
        </w:rPr>
      </w:pPr>
      <w:bookmarkStart w:id="0" w:name="_GoBack"/>
      <w:bookmarkEnd w:id="0"/>
      <w:r w:rsidRPr="002B61D7">
        <w:rPr>
          <w:rFonts w:ascii="Arial" w:eastAsia="Times New Roman" w:hAnsi="Arial" w:cs="Arial"/>
          <w:b/>
          <w:color w:val="000000"/>
          <w:lang w:eastAsia="en-GB"/>
        </w:rPr>
        <w:t>6864 Résumé</w:t>
      </w:r>
    </w:p>
    <w:p w:rsidR="002B61D7" w:rsidRDefault="00B97298" w:rsidP="002B61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L’</w:t>
      </w:r>
      <w:r w:rsidR="002B61D7">
        <w:rPr>
          <w:rFonts w:ascii="Arial" w:eastAsia="Times New Roman" w:hAnsi="Arial" w:cs="Arial"/>
          <w:color w:val="000000"/>
          <w:lang w:eastAsia="en-GB"/>
        </w:rPr>
        <w:t xml:space="preserve">initiative législative </w:t>
      </w:r>
      <w:r>
        <w:rPr>
          <w:rFonts w:ascii="Arial" w:eastAsia="Times New Roman" w:hAnsi="Arial" w:cs="Arial"/>
          <w:color w:val="000000"/>
          <w:lang w:eastAsia="en-GB"/>
        </w:rPr>
        <w:t xml:space="preserve">sous rubrique </w:t>
      </w:r>
      <w:r w:rsidR="002B61D7">
        <w:rPr>
          <w:rFonts w:ascii="Arial" w:eastAsia="Times New Roman" w:hAnsi="Arial" w:cs="Arial"/>
          <w:color w:val="000000"/>
          <w:lang w:eastAsia="en-GB"/>
        </w:rPr>
        <w:t xml:space="preserve">a pour objet de </w:t>
      </w:r>
      <w:r w:rsidR="002B61D7" w:rsidRPr="00907A10">
        <w:rPr>
          <w:rFonts w:ascii="Arial" w:eastAsia="Times New Roman" w:hAnsi="Arial" w:cs="Arial"/>
          <w:color w:val="000000"/>
          <w:lang w:eastAsia="en-GB"/>
        </w:rPr>
        <w:t xml:space="preserve">modifier le régime des baux commerciaux au </w:t>
      </w:r>
      <w:r w:rsidR="002B61D7">
        <w:rPr>
          <w:rFonts w:ascii="Arial" w:eastAsia="Times New Roman" w:hAnsi="Arial" w:cs="Arial"/>
          <w:color w:val="000000"/>
          <w:lang w:eastAsia="en-GB"/>
        </w:rPr>
        <w:t xml:space="preserve">Luxembourg. Adoptée, elle introduira </w:t>
      </w:r>
      <w:r w:rsidR="002B61D7" w:rsidRPr="00907A10">
        <w:rPr>
          <w:rFonts w:ascii="Arial" w:eastAsia="Times New Roman" w:hAnsi="Arial" w:cs="Arial"/>
          <w:color w:val="000000"/>
          <w:lang w:eastAsia="en-GB"/>
        </w:rPr>
        <w:t>tout un ensemble de règles nouvelles dans le Code civil</w:t>
      </w:r>
      <w:r w:rsidR="002B61D7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:rsidR="002B61D7" w:rsidRPr="002B61D7" w:rsidRDefault="002B61D7" w:rsidP="002B61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Ce</w:t>
      </w:r>
      <w:r w:rsidR="00B97298">
        <w:rPr>
          <w:rFonts w:ascii="Arial" w:eastAsia="Times New Roman" w:hAnsi="Arial" w:cs="Arial"/>
          <w:color w:val="000000"/>
          <w:lang w:eastAsia="en-GB"/>
        </w:rPr>
        <w:t xml:space="preserve">tte réforme </w:t>
      </w:r>
      <w:r>
        <w:rPr>
          <w:rFonts w:ascii="Arial" w:eastAsia="Times New Roman" w:hAnsi="Arial" w:cs="Arial"/>
          <w:color w:val="000000"/>
          <w:lang w:eastAsia="en-GB"/>
        </w:rPr>
        <w:t xml:space="preserve">vise à </w:t>
      </w:r>
      <w:r w:rsidRPr="00907A10">
        <w:rPr>
          <w:rFonts w:ascii="Arial" w:eastAsia="Times New Roman" w:hAnsi="Arial" w:cs="Arial"/>
          <w:color w:val="000000"/>
          <w:lang w:eastAsia="en-GB"/>
        </w:rPr>
        <w:t>remédier à un certain nombre de dysfonctionnements constatés sur le marché de l’immobilier commercial</w:t>
      </w:r>
      <w:r>
        <w:rPr>
          <w:rFonts w:ascii="Arial" w:eastAsia="Times New Roman" w:hAnsi="Arial" w:cs="Arial"/>
          <w:color w:val="000000"/>
          <w:lang w:eastAsia="en-GB"/>
        </w:rPr>
        <w:t xml:space="preserve">. Le tableau qui suit </w:t>
      </w:r>
      <w:bookmarkStart w:id="1" w:name="_Hlk492539905"/>
      <w:r>
        <w:rPr>
          <w:rFonts w:ascii="Arial" w:hAnsi="Arial" w:cs="Arial"/>
          <w:color w:val="000000"/>
          <w:lang w:eastAsia="en-GB"/>
        </w:rPr>
        <w:t>met en évidenc</w:t>
      </w:r>
      <w:r w:rsidRPr="00907A10">
        <w:rPr>
          <w:rFonts w:ascii="Arial" w:hAnsi="Arial" w:cs="Arial"/>
          <w:color w:val="000000"/>
          <w:lang w:eastAsia="en-GB"/>
        </w:rPr>
        <w:t xml:space="preserve">e </w:t>
      </w:r>
      <w:r>
        <w:rPr>
          <w:rFonts w:ascii="Arial" w:hAnsi="Arial" w:cs="Arial"/>
          <w:color w:val="000000"/>
          <w:lang w:eastAsia="en-GB"/>
        </w:rPr>
        <w:t>les principales modifications 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89"/>
        <w:gridCol w:w="2938"/>
        <w:gridCol w:w="4045"/>
      </w:tblGrid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Législation en vigueur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Nouveau projet de loi (amendé)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Champ d’application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 xml:space="preserve">peu clair: 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</w:p>
          <w:p w:rsidR="002B61D7" w:rsidRPr="00907A10" w:rsidRDefault="002B61D7" w:rsidP="002B61D7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immeubles destinés à l’exercice d’un commerce (Art. 1762-3 du Code civil)</w:t>
            </w:r>
          </w:p>
          <w:p w:rsidR="002B61D7" w:rsidRPr="00907A10" w:rsidRDefault="002B61D7" w:rsidP="002C038A">
            <w:pPr>
              <w:ind w:left="142" w:hanging="142"/>
              <w:rPr>
                <w:rFonts w:ascii="Arial" w:hAnsi="Arial" w:cs="Arial"/>
                <w:u w:val="single"/>
              </w:rPr>
            </w:pPr>
          </w:p>
          <w:p w:rsidR="002B61D7" w:rsidRPr="00907A10" w:rsidRDefault="002B61D7" w:rsidP="002B61D7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immeubles à destination commerciale (Art. 1762-4)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 xml:space="preserve">les baux en rapport avec une activité commerciale, industrielle ou artisanale (incluant centres commerciaux, stations-service, </w:t>
            </w:r>
            <w:proofErr w:type="spellStart"/>
            <w:r w:rsidRPr="00907A10">
              <w:rPr>
                <w:rFonts w:ascii="Arial" w:hAnsi="Arial" w:cs="Arial"/>
              </w:rPr>
              <w:t>horeca</w:t>
            </w:r>
            <w:proofErr w:type="spellEnd"/>
            <w:r w:rsidRPr="00907A10">
              <w:rPr>
                <w:rFonts w:ascii="Arial" w:hAnsi="Arial" w:cs="Arial"/>
              </w:rPr>
              <w:t xml:space="preserve"> …. mais pas : professions libérales, banques, bureaux, droit de superficie, emphytéoses …)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  <w:u w:val="single"/>
              </w:rPr>
              <w:t>exclus</w:t>
            </w:r>
            <w:r>
              <w:rPr>
                <w:rFonts w:ascii="Arial" w:hAnsi="Arial" w:cs="Arial"/>
              </w:rPr>
              <w:t xml:space="preserve"> </w:t>
            </w:r>
            <w:r w:rsidRPr="00907A10">
              <w:rPr>
                <w:rFonts w:ascii="Arial" w:hAnsi="Arial" w:cs="Arial"/>
              </w:rPr>
              <w:t>de la loi : baux à durée déterminée jusqu’à 1 an maximum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pas défini légalement</w:t>
            </w:r>
          </w:p>
          <w:p w:rsidR="002B61D7" w:rsidRPr="00907A10" w:rsidRDefault="002B61D7" w:rsidP="002B61D7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usage : « 3-6-9 »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durée indéterminée, ou durée déterminée, sans minimum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Garantie locative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libre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5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limitée à 6 mois (durée d’usage, suggérée par CE et autorités judiciaires)</w:t>
            </w:r>
          </w:p>
          <w:p w:rsidR="002B61D7" w:rsidRPr="00907A10" w:rsidRDefault="002B61D7" w:rsidP="002B61D7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garantie bancaire à première demande, ou souscription d’une assurance ou de toute autre garantie permettant de couvrir 6 mois de loyer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« Pas de porte » et autres commissions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pas d’interdiction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interdiction de tout supplément de loyer versé à la signature du contrat, ainsi que des clauses d’attribution de mandat exclusif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Résiliation anticipée en cas de situation financière désespérée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(retiré suite à une opposition formelle du Conseil d’Etat et de nombreuses autres critiques)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Clauses compromissoires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pas d’interdiction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pas d’interdiction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lastRenderedPageBreak/>
              <w:t>Modifications du contrat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lors du renouvellement du bail ou bien d’un commun accord des parties ou alors suite à une offre supérieure formulée par un tiers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  <w:p w:rsidR="002B61D7" w:rsidRPr="00907A10" w:rsidRDefault="002B61D7" w:rsidP="002C038A">
            <w:pPr>
              <w:rPr>
                <w:rFonts w:ascii="Arial" w:hAnsi="Arial" w:cs="Arial"/>
                <w:u w:val="single"/>
              </w:rPr>
            </w:pPr>
            <w:r w:rsidRPr="00907A10">
              <w:rPr>
                <w:rFonts w:ascii="Arial" w:hAnsi="Arial" w:cs="Arial"/>
              </w:rPr>
              <w:t>(retiré suite à une opposition formelle du Conseil d’Etat, alors que le droit commun permet aux parties de régler la question. Néanmoins, en cas de désaccord : intervention du juge de paix.)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Renouvellement</w:t>
            </w: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le locataire depuis plus de trois ans a le droit d’obtenir le renouvellement de son contrat par préférence à toutes autres personnes, mais il ne pourra faire valoir ce droit au-delà de la quinzième année de la location 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pour l'évincer plus tôt de ce droit le propriétaire devra justifier d'une offre sincère et réelle supérieure 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si le propriétaire justifie d'une offre sincère et réelle faite par un tiers, le loyer sera alors déterminé à ce prix, à moins qu'eu égard au prix le preneur ne renonce à son droit de préférence.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6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droit du locataire ou du sous-locataire d’obtenir le renouvellement du bail  à durée déterminée, pendant 9 années ;</w:t>
            </w:r>
          </w:p>
          <w:p w:rsidR="002B61D7" w:rsidRPr="00907A10" w:rsidRDefault="002B61D7" w:rsidP="002B61D7">
            <w:pPr>
              <w:numPr>
                <w:ilvl w:val="0"/>
                <w:numId w:val="6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la demande devra être formulée auprès du bailleur au moins 6 mois avant l’expiration du contrat de bail ;</w:t>
            </w:r>
          </w:p>
          <w:p w:rsidR="002B61D7" w:rsidRPr="00907A10" w:rsidRDefault="002B61D7" w:rsidP="002B61D7">
            <w:pPr>
              <w:numPr>
                <w:ilvl w:val="0"/>
                <w:numId w:val="6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sinon, renouvellement du bail à durée déterminée également par tacite reconduction, sauf notification contraire (=résiliation) par le bailleur ;</w:t>
            </w:r>
          </w:p>
          <w:p w:rsidR="002B61D7" w:rsidRPr="00907A10" w:rsidRDefault="002B61D7" w:rsidP="002B61D7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après 9 ans de bail, le bailleur peut refuser le renouvellement du bail à durée déterminée, ou résilier le bail à durée indéterminée mais est tenu de payer une indemnité d’éviction, qui peut aussi être réglée par le repreneur.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Motif de refus</w:t>
            </w: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7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en cas de griefs légitimes à l'égard du preneur ;</w:t>
            </w:r>
          </w:p>
          <w:p w:rsidR="002B61D7" w:rsidRPr="00907A10" w:rsidRDefault="002B61D7" w:rsidP="002B61D7">
            <w:pPr>
              <w:numPr>
                <w:ilvl w:val="0"/>
                <w:numId w:val="7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aux fins d'occupation personnelle par le propriétaire ou ses descendants ;</w:t>
            </w:r>
          </w:p>
          <w:p w:rsidR="002B61D7" w:rsidRPr="00907A10" w:rsidRDefault="002B61D7" w:rsidP="002B61D7">
            <w:pPr>
              <w:numPr>
                <w:ilvl w:val="0"/>
                <w:numId w:val="7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en cas d'abandon de toute location aux fins de commerce semblable ou analogue ;</w:t>
            </w:r>
          </w:p>
          <w:p w:rsidR="002B61D7" w:rsidRPr="00907A10" w:rsidRDefault="002B61D7" w:rsidP="002B61D7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en cas de reconstruction ou de transformation.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eastAsia="Times New Roman" w:hAnsi="Arial" w:cs="Arial"/>
                <w:lang w:val="fr-CH"/>
              </w:rPr>
            </w:pPr>
            <w:r w:rsidRPr="00907A10">
              <w:rPr>
                <w:rFonts w:ascii="Arial" w:eastAsia="Times New Roman" w:hAnsi="Arial" w:cs="Arial"/>
                <w:lang w:val="fr-CH"/>
              </w:rPr>
              <w:t>si faute dans le chef du preneur ou de l’exploitant (qui peut aussi entraîner, avant terme, une action du bailleur en résiliation judiciaire du bail) 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eastAsia="Times New Roman" w:hAnsi="Arial" w:cs="Arial"/>
                <w:lang w:val="fr-CH"/>
              </w:rPr>
            </w:pPr>
            <w:r w:rsidRPr="00907A10">
              <w:rPr>
                <w:rFonts w:ascii="Arial" w:eastAsia="Times New Roman" w:hAnsi="Arial" w:cs="Arial"/>
                <w:lang w:val="fr-CH"/>
              </w:rPr>
              <w:t>aux fins d’occupation personnelle par le propriétaire ou ses descendants 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eastAsia="Times New Roman" w:hAnsi="Arial" w:cs="Arial"/>
                <w:lang w:val="fr-CH"/>
              </w:rPr>
            </w:pPr>
            <w:r w:rsidRPr="00907A10">
              <w:rPr>
                <w:rFonts w:ascii="Arial" w:eastAsia="Times New Roman" w:hAnsi="Arial" w:cs="Arial"/>
                <w:lang w:val="fr-CH"/>
              </w:rPr>
              <w:t>si abandon de toute location aux fins d’activité semblable ou analogue 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Arial" w:eastAsia="Times New Roman" w:hAnsi="Arial" w:cs="Arial"/>
                <w:lang w:val="fr-CH"/>
              </w:rPr>
            </w:pPr>
            <w:r w:rsidRPr="00907A10">
              <w:rPr>
                <w:rFonts w:ascii="Arial" w:eastAsia="Times New Roman" w:hAnsi="Arial" w:cs="Arial"/>
                <w:lang w:val="fr-CH"/>
              </w:rPr>
              <w:t>si reconstruction ou transformation.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Sous-location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u w:val="single"/>
              </w:rPr>
            </w:pPr>
            <w:r w:rsidRPr="00907A10">
              <w:rPr>
                <w:rFonts w:ascii="Arial" w:hAnsi="Arial" w:cs="Arial"/>
              </w:rPr>
              <w:t>le loyer de sous-location ne peut être supérieur au loyer de location ; exception : si des investissements spécifiques à l’activité de sous-location sont réalisés par le locataire.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Délai de résiliation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6 mois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lang w:val="fr-CH"/>
              </w:rPr>
            </w:pPr>
            <w:r w:rsidRPr="00907A10">
              <w:rPr>
                <w:rFonts w:ascii="Arial" w:hAnsi="Arial" w:cs="Arial"/>
              </w:rPr>
              <w:t xml:space="preserve">au moins 6 mois, sauf faute du locataire </w:t>
            </w:r>
            <w:r w:rsidRPr="00907A10">
              <w:rPr>
                <w:rFonts w:ascii="Arial" w:eastAsia="Times New Roman" w:hAnsi="Arial" w:cs="Arial"/>
                <w:lang w:val="fr-CH"/>
              </w:rPr>
              <w:t>qui peut aussi entraîner immédiatement une action du bailleur en résiliation judiciaire du bail ;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Indemnité d’éviction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 xml:space="preserve">le montant de l’indemnité d’éviction est déterminé par les parties (accord </w:t>
            </w:r>
            <w:proofErr w:type="spellStart"/>
            <w:r w:rsidRPr="00907A10">
              <w:rPr>
                <w:rFonts w:ascii="Arial" w:hAnsi="Arial" w:cs="Arial"/>
              </w:rPr>
              <w:t>ad-hoc</w:t>
            </w:r>
            <w:proofErr w:type="spellEnd"/>
            <w:r w:rsidRPr="00907A10">
              <w:rPr>
                <w:rFonts w:ascii="Arial" w:hAnsi="Arial" w:cs="Arial"/>
              </w:rPr>
              <w:t xml:space="preserve"> ou clause fixant les critères) et, à défaut, par le juge de paix sur base de la valeur du fonds pour l’activité en question.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Sursis</w:t>
            </w: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sursis commercial : 2 sursis successifs, chacun de 6 mois au maximum.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spacing w:after="120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le tribunal peut accorder un sursis unique, de 1 à 9 mois sans prorogation ni appel possible, à l'exécution de l’ordonnance de déguerpissement ;</w:t>
            </w:r>
          </w:p>
          <w:p w:rsidR="002B61D7" w:rsidRPr="00907A10" w:rsidRDefault="002B61D7" w:rsidP="002C038A">
            <w:pPr>
              <w:spacing w:after="120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conditions :</w:t>
            </w:r>
          </w:p>
          <w:p w:rsidR="002B61D7" w:rsidRPr="00907A10" w:rsidRDefault="002B61D7" w:rsidP="002C038A">
            <w:pPr>
              <w:spacing w:after="120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- tous les loyers et avances sur charges échus ont été réglés au jour de l'introduction de la demande ;</w:t>
            </w:r>
          </w:p>
          <w:p w:rsidR="002B61D7" w:rsidRPr="00907A10" w:rsidRDefault="002B61D7" w:rsidP="002C038A">
            <w:pPr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- le sursis est accordé dans le seul but de permettre au requérant de trouver un autre immeuble en vue de poursuivre son activité et de répondre à ses obligations légales procédant du droit du travail.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Droit de repentir du bailleur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(prévu, puis retiré suite aux critiques du Conseil d’Etat car le droit commun permet de régler la situation.)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Droit de préemption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droit de préemption pour le preneur de longue durée (au moins 18 ans) en cas de vente de l’immeuble dans lequel il exerce son activité.</w:t>
            </w:r>
          </w:p>
        </w:tc>
      </w:tr>
      <w:bookmarkEnd w:id="1"/>
    </w:tbl>
    <w:p w:rsidR="009029C8" w:rsidRDefault="009029C8" w:rsidP="00B50182"/>
    <w:sectPr w:rsidR="0090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DD4"/>
    <w:multiLevelType w:val="hybridMultilevel"/>
    <w:tmpl w:val="EAEE561A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5566"/>
    <w:multiLevelType w:val="hybridMultilevel"/>
    <w:tmpl w:val="0142A164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6784"/>
    <w:multiLevelType w:val="hybridMultilevel"/>
    <w:tmpl w:val="97A41AFC"/>
    <w:lvl w:ilvl="0" w:tplc="DFCADD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F2C35"/>
    <w:multiLevelType w:val="hybridMultilevel"/>
    <w:tmpl w:val="44BE90E0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5F0B"/>
    <w:multiLevelType w:val="hybridMultilevel"/>
    <w:tmpl w:val="044046DE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F5DF2"/>
    <w:multiLevelType w:val="hybridMultilevel"/>
    <w:tmpl w:val="99389090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318E"/>
    <w:multiLevelType w:val="hybridMultilevel"/>
    <w:tmpl w:val="B1C6952E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D7"/>
    <w:rsid w:val="000016FF"/>
    <w:rsid w:val="000861F5"/>
    <w:rsid w:val="002B61D7"/>
    <w:rsid w:val="002C038A"/>
    <w:rsid w:val="00665D20"/>
    <w:rsid w:val="00790EF5"/>
    <w:rsid w:val="008E05EC"/>
    <w:rsid w:val="009029C8"/>
    <w:rsid w:val="00B50182"/>
    <w:rsid w:val="00B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838ADD-342F-4A9C-9586-8AA6F50A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4411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