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Default="00481B56">
      <w:bookmarkStart w:id="0" w:name="_GoBack"/>
      <w:bookmarkEnd w:id="0"/>
    </w:p>
    <w:p w:rsidR="005375EC" w:rsidRPr="005375EC" w:rsidRDefault="005375EC" w:rsidP="005375EC">
      <w:pPr>
        <w:tabs>
          <w:tab w:val="left" w:pos="4451"/>
        </w:tabs>
        <w:autoSpaceDE w:val="0"/>
        <w:autoSpaceDN w:val="0"/>
        <w:adjustRightInd w:val="0"/>
        <w:spacing w:after="0" w:line="240" w:lineRule="auto"/>
        <w:jc w:val="center"/>
        <w:rPr>
          <w:rFonts w:ascii="Arial" w:eastAsia="Times New Roman" w:hAnsi="Arial" w:cs="Arial"/>
          <w:b/>
          <w:bCs/>
          <w:sz w:val="28"/>
          <w:szCs w:val="28"/>
          <w:lang w:val="fr-FR" w:eastAsia="fr-FR"/>
        </w:rPr>
      </w:pPr>
      <w:r w:rsidRPr="005375EC">
        <w:rPr>
          <w:rFonts w:ascii="Arial" w:eastAsia="Times New Roman" w:hAnsi="Arial" w:cs="Arial"/>
          <w:b/>
          <w:bCs/>
          <w:sz w:val="28"/>
          <w:szCs w:val="28"/>
          <w:lang w:val="fr-FR" w:eastAsia="fr-FR"/>
        </w:rPr>
        <w:t>N° 6944</w:t>
      </w:r>
    </w:p>
    <w:p w:rsidR="005375EC" w:rsidRPr="005375EC" w:rsidRDefault="005375EC" w:rsidP="005375EC">
      <w:pPr>
        <w:autoSpaceDE w:val="0"/>
        <w:autoSpaceDN w:val="0"/>
        <w:adjustRightInd w:val="0"/>
        <w:spacing w:after="0" w:line="240" w:lineRule="auto"/>
        <w:jc w:val="center"/>
        <w:rPr>
          <w:rFonts w:ascii="Arial" w:eastAsia="Times New Roman" w:hAnsi="Arial" w:cs="Arial"/>
          <w:b/>
          <w:bCs/>
          <w:sz w:val="16"/>
          <w:szCs w:val="16"/>
          <w:lang w:val="fr-FR" w:eastAsia="fr-FR"/>
        </w:rPr>
      </w:pPr>
    </w:p>
    <w:p w:rsidR="005375EC" w:rsidRPr="005375EC" w:rsidRDefault="005375EC" w:rsidP="005375EC">
      <w:pPr>
        <w:autoSpaceDE w:val="0"/>
        <w:autoSpaceDN w:val="0"/>
        <w:adjustRightInd w:val="0"/>
        <w:spacing w:after="0" w:line="240" w:lineRule="auto"/>
        <w:jc w:val="center"/>
        <w:rPr>
          <w:rFonts w:ascii="Arial" w:eastAsia="Times New Roman" w:hAnsi="Arial" w:cs="Arial"/>
          <w:bCs/>
          <w:sz w:val="28"/>
          <w:szCs w:val="28"/>
          <w:lang w:val="fr-FR" w:eastAsia="fr-FR"/>
        </w:rPr>
      </w:pPr>
      <w:r w:rsidRPr="005375EC">
        <w:rPr>
          <w:rFonts w:ascii="Arial" w:eastAsia="Times New Roman" w:hAnsi="Arial" w:cs="Arial"/>
          <w:bCs/>
          <w:sz w:val="28"/>
          <w:szCs w:val="28"/>
          <w:lang w:val="fr-FR" w:eastAsia="fr-FR"/>
        </w:rPr>
        <w:t>CHAMBRE DES DÉPUTÉS</w:t>
      </w:r>
    </w:p>
    <w:p w:rsidR="005375EC" w:rsidRPr="005375EC" w:rsidRDefault="005375EC" w:rsidP="005375EC">
      <w:pPr>
        <w:autoSpaceDE w:val="0"/>
        <w:autoSpaceDN w:val="0"/>
        <w:adjustRightInd w:val="0"/>
        <w:spacing w:after="0" w:line="240" w:lineRule="auto"/>
        <w:jc w:val="center"/>
        <w:rPr>
          <w:rFonts w:ascii="Arial" w:eastAsia="Times New Roman" w:hAnsi="Arial" w:cs="Arial"/>
          <w:bCs/>
          <w:sz w:val="16"/>
          <w:szCs w:val="16"/>
          <w:lang w:val="fr-FR" w:eastAsia="fr-FR"/>
        </w:rPr>
      </w:pPr>
    </w:p>
    <w:p w:rsidR="005375EC" w:rsidRPr="005375EC" w:rsidRDefault="005375EC" w:rsidP="005375EC">
      <w:pPr>
        <w:autoSpaceDE w:val="0"/>
        <w:autoSpaceDN w:val="0"/>
        <w:adjustRightInd w:val="0"/>
        <w:spacing w:after="0" w:line="240" w:lineRule="auto"/>
        <w:jc w:val="center"/>
        <w:rPr>
          <w:rFonts w:ascii="Arial" w:eastAsia="Times New Roman" w:hAnsi="Arial" w:cs="Arial"/>
          <w:bCs/>
          <w:sz w:val="20"/>
          <w:szCs w:val="20"/>
          <w:lang w:val="fr-FR" w:eastAsia="fr-FR"/>
        </w:rPr>
      </w:pPr>
      <w:r w:rsidRPr="005375EC">
        <w:rPr>
          <w:rFonts w:ascii="Arial" w:eastAsia="Times New Roman" w:hAnsi="Arial" w:cs="Arial"/>
          <w:bCs/>
          <w:sz w:val="20"/>
          <w:szCs w:val="20"/>
          <w:lang w:val="fr-FR" w:eastAsia="fr-FR"/>
        </w:rPr>
        <w:t>Session ordinaire 2016-2017</w:t>
      </w:r>
    </w:p>
    <w:p w:rsidR="005375EC" w:rsidRPr="005375EC" w:rsidRDefault="005375EC" w:rsidP="005375EC">
      <w:pPr>
        <w:pBdr>
          <w:bottom w:val="thinThickLargeGap" w:sz="24" w:space="1" w:color="auto"/>
        </w:pBdr>
        <w:autoSpaceDE w:val="0"/>
        <w:autoSpaceDN w:val="0"/>
        <w:adjustRightInd w:val="0"/>
        <w:spacing w:after="0" w:line="240" w:lineRule="auto"/>
        <w:jc w:val="both"/>
        <w:rPr>
          <w:rFonts w:ascii="Arial" w:eastAsia="Times New Roman" w:hAnsi="Arial" w:cs="Arial"/>
          <w:b/>
          <w:bCs/>
          <w:sz w:val="20"/>
          <w:szCs w:val="20"/>
          <w:lang w:val="fr-FR" w:eastAsia="fr-FR"/>
        </w:rPr>
      </w:pPr>
    </w:p>
    <w:p w:rsidR="005375EC" w:rsidRPr="005375EC" w:rsidRDefault="005375EC" w:rsidP="005375EC">
      <w:pPr>
        <w:autoSpaceDE w:val="0"/>
        <w:autoSpaceDN w:val="0"/>
        <w:adjustRightInd w:val="0"/>
        <w:spacing w:after="0" w:line="240" w:lineRule="auto"/>
        <w:jc w:val="both"/>
        <w:rPr>
          <w:rFonts w:ascii="Arial" w:eastAsia="Times New Roman" w:hAnsi="Arial" w:cs="Arial"/>
          <w:b/>
          <w:bCs/>
          <w:sz w:val="20"/>
          <w:szCs w:val="20"/>
          <w:lang w:val="fr-FR" w:eastAsia="fr-FR"/>
        </w:rPr>
      </w:pPr>
    </w:p>
    <w:p w:rsidR="005375EC" w:rsidRPr="005375EC" w:rsidRDefault="005375EC" w:rsidP="005375EC">
      <w:pPr>
        <w:autoSpaceDE w:val="0"/>
        <w:autoSpaceDN w:val="0"/>
        <w:adjustRightInd w:val="0"/>
        <w:spacing w:after="0" w:line="240" w:lineRule="auto"/>
        <w:jc w:val="center"/>
        <w:rPr>
          <w:rFonts w:ascii="Arial" w:eastAsia="Times New Roman" w:hAnsi="Arial" w:cs="Arial"/>
          <w:b/>
          <w:bCs/>
          <w:spacing w:val="76"/>
          <w:sz w:val="36"/>
          <w:szCs w:val="36"/>
          <w:lang w:val="fr-FR" w:eastAsia="fr-FR"/>
        </w:rPr>
      </w:pPr>
      <w:r w:rsidRPr="005375EC">
        <w:rPr>
          <w:rFonts w:ascii="Arial" w:eastAsia="Times New Roman" w:hAnsi="Arial" w:cs="Arial"/>
          <w:b/>
          <w:bCs/>
          <w:spacing w:val="76"/>
          <w:sz w:val="36"/>
          <w:szCs w:val="36"/>
          <w:lang w:val="fr-FR" w:eastAsia="fr-FR"/>
        </w:rPr>
        <w:t>DEBAT D’ORIENTATION</w:t>
      </w:r>
    </w:p>
    <w:p w:rsidR="005375EC" w:rsidRPr="005375EC" w:rsidRDefault="005375EC" w:rsidP="005375EC">
      <w:pPr>
        <w:autoSpaceDE w:val="0"/>
        <w:autoSpaceDN w:val="0"/>
        <w:adjustRightInd w:val="0"/>
        <w:spacing w:after="0" w:line="240" w:lineRule="auto"/>
        <w:jc w:val="center"/>
        <w:rPr>
          <w:rFonts w:ascii="Arial" w:eastAsia="Times New Roman" w:hAnsi="Arial" w:cs="Arial"/>
          <w:b/>
          <w:bCs/>
          <w:spacing w:val="76"/>
          <w:sz w:val="36"/>
          <w:szCs w:val="36"/>
          <w:lang w:val="fr-FR" w:eastAsia="fr-FR"/>
        </w:rPr>
      </w:pPr>
    </w:p>
    <w:p w:rsidR="005375EC" w:rsidRPr="005375EC" w:rsidRDefault="005375EC" w:rsidP="005375EC">
      <w:pPr>
        <w:autoSpaceDE w:val="0"/>
        <w:autoSpaceDN w:val="0"/>
        <w:adjustRightInd w:val="0"/>
        <w:spacing w:after="0" w:line="240" w:lineRule="auto"/>
        <w:jc w:val="center"/>
        <w:rPr>
          <w:rFonts w:ascii="Arial" w:eastAsia="Times New Roman" w:hAnsi="Arial" w:cs="Arial"/>
          <w:b/>
          <w:bCs/>
          <w:sz w:val="24"/>
          <w:szCs w:val="24"/>
          <w:lang w:val="fr-FR" w:eastAsia="fr-FR"/>
        </w:rPr>
      </w:pPr>
      <w:r w:rsidRPr="005375EC">
        <w:rPr>
          <w:rFonts w:ascii="Arial" w:eastAsia="Times New Roman" w:hAnsi="Arial" w:cs="Arial"/>
          <w:b/>
          <w:bCs/>
          <w:sz w:val="24"/>
          <w:szCs w:val="24"/>
          <w:lang w:eastAsia="fr-FR"/>
        </w:rPr>
        <w:t>Avenir de l'Union européenne et de la zone euro</w:t>
      </w:r>
    </w:p>
    <w:p w:rsidR="005375EC" w:rsidRDefault="005375EC">
      <w:pPr>
        <w:rPr>
          <w:lang w:val="fr-FR"/>
        </w:rPr>
      </w:pPr>
    </w:p>
    <w:p w:rsidR="005375EC" w:rsidRPr="005375EC" w:rsidRDefault="005375EC" w:rsidP="005375EC">
      <w:pPr>
        <w:jc w:val="center"/>
        <w:rPr>
          <w:b/>
          <w:sz w:val="28"/>
          <w:szCs w:val="28"/>
          <w:lang w:val="fr-FR"/>
        </w:rPr>
      </w:pPr>
      <w:r w:rsidRPr="005375EC">
        <w:rPr>
          <w:b/>
          <w:sz w:val="28"/>
          <w:szCs w:val="28"/>
          <w:lang w:val="fr-FR"/>
        </w:rPr>
        <w:t>RESUME</w:t>
      </w:r>
    </w:p>
    <w:p w:rsidR="005375EC" w:rsidRDefault="005375EC"/>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L’UE est aujourd’hui confrontée à une dynamique qui, au premier abord, peut paraître paradoxale. Plus démocratiques que jamais auparavant dans leur histoire, ses institutions et l’UE dans son ensemble suscitent néanmoins une méfiance croissante. Malgré plus de quinze ans de réformes institutionnelles, entre 1992 et 2009, la construction européenne traverse une crise de légitimité sans précédent.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D’emblée, l’on peut dès lors poser l’hypothèse que les causes du problème ne se situent pas nécessairement au niveau du fonctionnement des institutions, mais sont profondément politiques.</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Tandis que le fonctionnement des institutions européennes pourrait toujours être amélioré, force est de constater que le plein potentiel de ce que permet d’accomplir le traité de Lisbonne est loin d’être atteint.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L’UE doit se concentrer sur la mise en place de politiques publiques au bénéfice de tous les citoyens européens.</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Construire de véritables politiques publiques européennes nécessite un engagement plus fort des dirigeants de l’UE en relation avec les parlements et les citoyens.</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L’UE a besoin d’une plus grande volonté politique. Les minutieux réglages institutionnels dont chaque régime politique a besoin ne doivent pas monopoliser l’agenda des dirigeants européens.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Pour gagner la confiance des citoyens, l’UE ne doit plus s’approfondir grâce aux crises, mais les anticiper.</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Ni l’UE, ni la zone euro ne sont une fin en soi. Leur avenir réside dans le bien-être de ses citoyens. Non seulement les institutions européennes, mais aussi les exécutifs et législateurs nationaux doivent agir en conséquence.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Comme par le passé, la méthode communautaire, c’est-à-dire la recherche de compromis politiques et du changement progressif à travers de la négociation, du débat et de la recherche d’équilibres entre la Commission européenne, les groupes </w:t>
      </w:r>
      <w:r w:rsidRPr="005375EC">
        <w:rPr>
          <w:rFonts w:ascii="Arial" w:hAnsi="Arial" w:cs="Arial"/>
        </w:rPr>
        <w:lastRenderedPageBreak/>
        <w:t xml:space="preserve">politiques du Parlement européen et les grands et petits Etats au Conseil de l’UE, est la seule alternative viable pour l’avenir de l’UE.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La crise de l’euro dans le sillage de la crise financière, économique et budgétaire a cependant amplement montré que cette démarche ne peut plus être une excuse pour des décisions au plus petit dénominateur commun.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Une plus forte volonté politique européenne doit s’exprimer dans la construction de politiques nouvelles et surtout dans le perfectionnement de celles qui existent sans être suffisamment efficaces.   </w:t>
      </w:r>
    </w:p>
    <w:p w:rsidR="005375EC" w:rsidRPr="005375EC" w:rsidRDefault="005375EC" w:rsidP="005375EC">
      <w:pPr>
        <w:spacing w:after="120" w:line="276" w:lineRule="auto"/>
        <w:ind w:left="284" w:right="567"/>
        <w:jc w:val="both"/>
        <w:rPr>
          <w:rFonts w:ascii="Arial" w:hAnsi="Arial" w:cs="Arial"/>
        </w:rPr>
      </w:pPr>
      <w:r w:rsidRPr="005375EC">
        <w:rPr>
          <w:rFonts w:ascii="Arial" w:hAnsi="Arial" w:cs="Arial"/>
        </w:rPr>
        <w:t xml:space="preserve">Les nombreuses réunions et auditions au sujet de l’avenir de l’Union et de la zone euro, menées au niveau de la Chambre des Députés et, en particulier, de la Commission des Affaires étrangères et européennes, de la Défense, de la Coopération et de l’Immigration depuis plus d’un an permettent de mettre en évidence cette nouvelle exigence fonctionnelle, qui constitue en même temps le fil rouge du présent rapport, à savoir le besoin pressant d’une nouvelle volonté politique européenne. </w:t>
      </w:r>
    </w:p>
    <w:p w:rsidR="005375EC" w:rsidRDefault="005375EC"/>
    <w:sectPr w:rsidR="00537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5EC"/>
    <w:rsid w:val="000115D7"/>
    <w:rsid w:val="003E7C3F"/>
    <w:rsid w:val="00481B56"/>
    <w:rsid w:val="005375EC"/>
    <w:rsid w:val="006B34F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561785-3BE9-48A3-B6E6-8C8A81D3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2565</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Brors</dc:creator>
  <cp:keywords/>
  <dc:description/>
  <cp:lastModifiedBy>SYSTEM</cp:lastModifiedBy>
  <cp:revision>2</cp:revision>
  <dcterms:created xsi:type="dcterms:W3CDTF">2024-02-21T07:52:00Z</dcterms:created>
  <dcterms:modified xsi:type="dcterms:W3CDTF">2024-02-21T07:52:00Z</dcterms:modified>
</cp:coreProperties>
</file>