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D5" w:rsidRPr="009D2AE3" w:rsidRDefault="00E661CC">
      <w:pPr>
        <w:pStyle w:val="Default"/>
        <w:jc w:val="both"/>
        <w:rPr>
          <w:rFonts w:ascii="Arial" w:eastAsia="Arial" w:hAnsi="Arial" w:cs="Arial"/>
          <w:b/>
          <w:bCs/>
          <w:sz w:val="22"/>
          <w:szCs w:val="22"/>
        </w:rPr>
      </w:pPr>
      <w:bookmarkStart w:id="0" w:name="_GoBack"/>
      <w:bookmarkEnd w:id="0"/>
      <w:r w:rsidRPr="009D2AE3">
        <w:rPr>
          <w:rFonts w:ascii="Arial" w:hAnsi="Arial" w:cs="Arial"/>
          <w:b/>
          <w:bCs/>
          <w:sz w:val="22"/>
          <w:szCs w:val="22"/>
        </w:rPr>
        <w:t xml:space="preserve">Projet de loi </w:t>
      </w:r>
      <w:r w:rsidR="003843FD">
        <w:rPr>
          <w:rFonts w:ascii="Arial" w:hAnsi="Arial" w:cs="Arial"/>
          <w:b/>
          <w:bCs/>
          <w:sz w:val="22"/>
          <w:szCs w:val="22"/>
        </w:rPr>
        <w:t xml:space="preserve">6846 </w:t>
      </w:r>
      <w:r w:rsidRPr="009D2AE3">
        <w:rPr>
          <w:rFonts w:ascii="Arial" w:hAnsi="Arial" w:cs="Arial"/>
          <w:b/>
          <w:bCs/>
          <w:sz w:val="22"/>
          <w:szCs w:val="22"/>
        </w:rPr>
        <w:t>relative aux produits dérivés de gré</w:t>
      </w:r>
      <w:r w:rsidR="00323CE9" w:rsidRPr="009D2AE3">
        <w:rPr>
          <w:rFonts w:ascii="Arial" w:hAnsi="Arial" w:cs="Arial"/>
          <w:b/>
          <w:bCs/>
          <w:sz w:val="22"/>
          <w:szCs w:val="22"/>
        </w:rPr>
        <w:t xml:space="preserve"> </w:t>
      </w:r>
      <w:r w:rsidRPr="009D2AE3">
        <w:rPr>
          <w:rFonts w:ascii="Arial" w:hAnsi="Arial" w:cs="Arial"/>
          <w:b/>
          <w:bCs/>
          <w:sz w:val="22"/>
          <w:szCs w:val="22"/>
        </w:rPr>
        <w:t>à</w:t>
      </w:r>
      <w:r w:rsidR="00323CE9" w:rsidRPr="009D2AE3">
        <w:rPr>
          <w:rFonts w:ascii="Arial" w:hAnsi="Arial" w:cs="Arial"/>
          <w:b/>
          <w:bCs/>
          <w:sz w:val="22"/>
          <w:szCs w:val="22"/>
        </w:rPr>
        <w:t xml:space="preserve"> </w:t>
      </w:r>
      <w:r w:rsidRPr="009D2AE3">
        <w:rPr>
          <w:rFonts w:ascii="Arial" w:hAnsi="Arial" w:cs="Arial"/>
          <w:b/>
          <w:bCs/>
          <w:sz w:val="22"/>
          <w:szCs w:val="22"/>
        </w:rPr>
        <w:t xml:space="preserve">gré, aux contreparties centrales et aux référentiels centraux et </w:t>
      </w:r>
    </w:p>
    <w:p w:rsidR="003E2BD5" w:rsidRPr="009D2AE3" w:rsidRDefault="003E2BD5">
      <w:pPr>
        <w:pStyle w:val="Default"/>
        <w:jc w:val="both"/>
        <w:rPr>
          <w:rFonts w:ascii="Arial" w:eastAsia="Arial" w:hAnsi="Arial" w:cs="Arial"/>
          <w:b/>
          <w:bCs/>
          <w:sz w:val="22"/>
          <w:szCs w:val="22"/>
        </w:rPr>
      </w:pPr>
    </w:p>
    <w:p w:rsidR="003E2BD5" w:rsidRPr="009D2AE3" w:rsidRDefault="00E661CC">
      <w:pPr>
        <w:pStyle w:val="Default"/>
        <w:jc w:val="both"/>
        <w:rPr>
          <w:rFonts w:ascii="Arial" w:eastAsia="Arial" w:hAnsi="Arial" w:cs="Arial"/>
          <w:sz w:val="22"/>
          <w:szCs w:val="22"/>
        </w:rPr>
      </w:pPr>
      <w:r w:rsidRPr="009D2AE3">
        <w:rPr>
          <w:rFonts w:ascii="Arial" w:hAnsi="Arial" w:cs="Arial"/>
          <w:b/>
          <w:bCs/>
          <w:sz w:val="22"/>
          <w:szCs w:val="22"/>
        </w:rPr>
        <w:t xml:space="preserve">portant transposition: </w:t>
      </w:r>
    </w:p>
    <w:p w:rsidR="003E2BD5" w:rsidRPr="009D2AE3" w:rsidRDefault="00E661CC">
      <w:pPr>
        <w:pStyle w:val="Default"/>
        <w:jc w:val="both"/>
        <w:rPr>
          <w:rFonts w:ascii="Arial" w:eastAsia="Arial" w:hAnsi="Arial" w:cs="Arial"/>
          <w:sz w:val="22"/>
          <w:szCs w:val="22"/>
        </w:rPr>
      </w:pPr>
      <w:r w:rsidRPr="009D2AE3">
        <w:rPr>
          <w:rFonts w:ascii="Arial" w:hAnsi="Arial" w:cs="Arial"/>
          <w:b/>
          <w:bCs/>
          <w:sz w:val="22"/>
          <w:szCs w:val="22"/>
        </w:rPr>
        <w:t>de la directive 2013/14/UE du Parlement européen et du Conseil du 21 mai 2013 modifiant la directive 2003/41/CE concernant les activités et la surveillance des institutions de retraite professionnelle, la directive 2009/65/CE portant coordination des dispositions législatives, réglementaires et administratives concernant certains organismes de placement collectif en valeurs mobilières (OPCVM) et la directive 2011/61/UE sur les gestionnaires de fonds d’investissement alternatifs en ce qui concerne la dépendance excessive à</w:t>
      </w:r>
      <w:r w:rsidR="00063BE7">
        <w:rPr>
          <w:rFonts w:ascii="Arial" w:hAnsi="Arial" w:cs="Arial"/>
          <w:b/>
          <w:bCs/>
          <w:sz w:val="22"/>
          <w:szCs w:val="22"/>
        </w:rPr>
        <w:t xml:space="preserve"> </w:t>
      </w:r>
      <w:r w:rsidRPr="009D2AE3">
        <w:rPr>
          <w:rFonts w:ascii="Arial" w:hAnsi="Arial" w:cs="Arial"/>
          <w:b/>
          <w:bCs/>
          <w:sz w:val="22"/>
          <w:szCs w:val="22"/>
        </w:rPr>
        <w:t xml:space="preserve">l’égard des notations de crédit; et </w:t>
      </w:r>
    </w:p>
    <w:p w:rsidR="003E2BD5" w:rsidRPr="009D2AE3" w:rsidRDefault="003E2BD5">
      <w:pPr>
        <w:pStyle w:val="Pa5"/>
        <w:spacing w:line="240" w:lineRule="auto"/>
        <w:jc w:val="both"/>
        <w:rPr>
          <w:rFonts w:ascii="Arial" w:eastAsia="Arial" w:hAnsi="Arial" w:cs="Arial"/>
          <w:b/>
          <w:bCs/>
          <w:sz w:val="22"/>
          <w:szCs w:val="22"/>
        </w:rPr>
      </w:pPr>
    </w:p>
    <w:p w:rsidR="003E2BD5" w:rsidRPr="009D2AE3" w:rsidRDefault="00E661CC">
      <w:pPr>
        <w:pStyle w:val="Pa5"/>
        <w:spacing w:line="240" w:lineRule="auto"/>
        <w:jc w:val="both"/>
        <w:rPr>
          <w:rFonts w:ascii="Arial" w:eastAsia="Arial" w:hAnsi="Arial" w:cs="Arial"/>
          <w:sz w:val="22"/>
          <w:szCs w:val="22"/>
        </w:rPr>
      </w:pPr>
      <w:r w:rsidRPr="009D2AE3">
        <w:rPr>
          <w:rFonts w:ascii="Arial" w:hAnsi="Arial" w:cs="Arial"/>
          <w:b/>
          <w:bCs/>
          <w:sz w:val="22"/>
          <w:szCs w:val="22"/>
        </w:rPr>
        <w:t xml:space="preserve">portant mise en </w:t>
      </w:r>
      <w:r w:rsidR="0017168C" w:rsidRPr="009D2AE3">
        <w:rPr>
          <w:rFonts w:ascii="Arial" w:hAnsi="Arial" w:cs="Arial"/>
          <w:b/>
          <w:bCs/>
          <w:sz w:val="22"/>
          <w:szCs w:val="22"/>
        </w:rPr>
        <w:t>œuvre</w:t>
      </w:r>
      <w:r w:rsidRPr="009D2AE3">
        <w:rPr>
          <w:rFonts w:ascii="Arial" w:hAnsi="Arial" w:cs="Arial"/>
          <w:b/>
          <w:bCs/>
          <w:sz w:val="22"/>
          <w:szCs w:val="22"/>
        </w:rPr>
        <w:t xml:space="preserve">: </w:t>
      </w:r>
    </w:p>
    <w:p w:rsidR="003E2BD5" w:rsidRPr="009D2AE3" w:rsidRDefault="00E661CC">
      <w:pPr>
        <w:pStyle w:val="Pa5"/>
        <w:spacing w:line="240" w:lineRule="auto"/>
        <w:jc w:val="both"/>
        <w:rPr>
          <w:rFonts w:ascii="Arial" w:eastAsia="Arial" w:hAnsi="Arial" w:cs="Arial"/>
          <w:sz w:val="22"/>
          <w:szCs w:val="22"/>
        </w:rPr>
      </w:pPr>
      <w:r w:rsidRPr="009D2AE3">
        <w:rPr>
          <w:rFonts w:ascii="Arial" w:hAnsi="Arial" w:cs="Arial"/>
          <w:b/>
          <w:bCs/>
          <w:sz w:val="22"/>
          <w:szCs w:val="22"/>
        </w:rPr>
        <w:t xml:space="preserve">1. du règlement (UE) n°260/2012 du Parlement européen et du Conseil du 14 mars 2012 établissant des exigences techniques et commerciales pour les virements et les prélèvements en euros et modifiant le règlement (CE) n°924/2009; </w:t>
      </w:r>
    </w:p>
    <w:p w:rsidR="003E2BD5" w:rsidRPr="009D2AE3" w:rsidRDefault="00E661CC">
      <w:pPr>
        <w:pStyle w:val="Pa5"/>
        <w:spacing w:line="240" w:lineRule="auto"/>
        <w:jc w:val="both"/>
        <w:rPr>
          <w:rFonts w:ascii="Arial" w:eastAsia="Arial" w:hAnsi="Arial" w:cs="Arial"/>
          <w:sz w:val="22"/>
          <w:szCs w:val="22"/>
        </w:rPr>
      </w:pPr>
      <w:r w:rsidRPr="009D2AE3">
        <w:rPr>
          <w:rFonts w:ascii="Arial" w:hAnsi="Arial" w:cs="Arial"/>
          <w:b/>
          <w:bCs/>
          <w:sz w:val="22"/>
          <w:szCs w:val="22"/>
        </w:rPr>
        <w:t>2. du règlement (UE) n°648/2012 du Parlement européen et du Conseil du 4 juillet 2012 sur les produits dérivés de gré</w:t>
      </w:r>
      <w:r w:rsidR="00323CE9" w:rsidRPr="009D2AE3">
        <w:rPr>
          <w:rFonts w:ascii="Arial" w:hAnsi="Arial" w:cs="Arial"/>
          <w:b/>
          <w:bCs/>
          <w:sz w:val="22"/>
          <w:szCs w:val="22"/>
        </w:rPr>
        <w:t xml:space="preserve"> </w:t>
      </w:r>
      <w:r w:rsidRPr="009D2AE3">
        <w:rPr>
          <w:rFonts w:ascii="Arial" w:hAnsi="Arial" w:cs="Arial"/>
          <w:b/>
          <w:bCs/>
          <w:sz w:val="22"/>
          <w:szCs w:val="22"/>
        </w:rPr>
        <w:t>à</w:t>
      </w:r>
      <w:r w:rsidR="00323CE9" w:rsidRPr="009D2AE3">
        <w:rPr>
          <w:rFonts w:ascii="Arial" w:hAnsi="Arial" w:cs="Arial"/>
          <w:b/>
          <w:bCs/>
          <w:sz w:val="22"/>
          <w:szCs w:val="22"/>
        </w:rPr>
        <w:t xml:space="preserve"> </w:t>
      </w:r>
      <w:r w:rsidRPr="009D2AE3">
        <w:rPr>
          <w:rFonts w:ascii="Arial" w:hAnsi="Arial" w:cs="Arial"/>
          <w:b/>
          <w:bCs/>
          <w:sz w:val="22"/>
          <w:szCs w:val="22"/>
        </w:rPr>
        <w:t xml:space="preserve">gré, les contreparties centrales et les référentiels centraux; et </w:t>
      </w:r>
    </w:p>
    <w:p w:rsidR="003E2BD5" w:rsidRPr="009D2AE3" w:rsidRDefault="00E661CC">
      <w:pPr>
        <w:pStyle w:val="Pa5"/>
        <w:spacing w:line="240" w:lineRule="auto"/>
        <w:jc w:val="both"/>
        <w:rPr>
          <w:rFonts w:ascii="Arial" w:eastAsia="Arial" w:hAnsi="Arial" w:cs="Arial"/>
          <w:sz w:val="22"/>
          <w:szCs w:val="22"/>
        </w:rPr>
      </w:pPr>
      <w:r w:rsidRPr="009D2AE3">
        <w:rPr>
          <w:rFonts w:ascii="Arial" w:hAnsi="Arial" w:cs="Arial"/>
          <w:b/>
          <w:bCs/>
          <w:sz w:val="22"/>
          <w:szCs w:val="22"/>
        </w:rPr>
        <w:t xml:space="preserve">3. du règlement (UE) n°462/2013 du Parlement européen et du Conseil du 21 mai 2013 modifiant le règlement (CE) n°1060/2009 sur les agences de notation de crédit; et </w:t>
      </w:r>
    </w:p>
    <w:p w:rsidR="003E2BD5" w:rsidRPr="009D2AE3" w:rsidRDefault="003E2BD5">
      <w:pPr>
        <w:pStyle w:val="Pa5"/>
        <w:spacing w:line="240" w:lineRule="auto"/>
        <w:jc w:val="both"/>
        <w:rPr>
          <w:rFonts w:ascii="Arial" w:eastAsia="Arial" w:hAnsi="Arial" w:cs="Arial"/>
          <w:b/>
          <w:bCs/>
          <w:sz w:val="22"/>
          <w:szCs w:val="22"/>
        </w:rPr>
      </w:pPr>
    </w:p>
    <w:p w:rsidR="003E2BD5" w:rsidRPr="009D2AE3" w:rsidRDefault="00E661CC">
      <w:pPr>
        <w:pStyle w:val="Pa5"/>
        <w:spacing w:line="240" w:lineRule="auto"/>
        <w:jc w:val="both"/>
        <w:rPr>
          <w:rFonts w:ascii="Arial" w:eastAsia="Arial" w:hAnsi="Arial" w:cs="Arial"/>
          <w:sz w:val="22"/>
          <w:szCs w:val="22"/>
        </w:rPr>
      </w:pPr>
      <w:r w:rsidRPr="009D2AE3">
        <w:rPr>
          <w:rFonts w:ascii="Arial" w:hAnsi="Arial" w:cs="Arial"/>
          <w:b/>
          <w:bCs/>
          <w:sz w:val="22"/>
          <w:szCs w:val="22"/>
        </w:rPr>
        <w:t xml:space="preserve">portant modification: </w:t>
      </w:r>
    </w:p>
    <w:p w:rsidR="003E2BD5" w:rsidRPr="009D2AE3" w:rsidRDefault="00E661CC">
      <w:pPr>
        <w:pStyle w:val="Pa5"/>
        <w:spacing w:line="240" w:lineRule="auto"/>
        <w:jc w:val="both"/>
        <w:rPr>
          <w:rFonts w:ascii="Arial" w:eastAsia="Arial" w:hAnsi="Arial" w:cs="Arial"/>
          <w:sz w:val="22"/>
          <w:szCs w:val="22"/>
        </w:rPr>
      </w:pPr>
      <w:r w:rsidRPr="009D2AE3">
        <w:rPr>
          <w:rFonts w:ascii="Arial" w:hAnsi="Arial" w:cs="Arial"/>
          <w:b/>
          <w:bCs/>
          <w:sz w:val="22"/>
          <w:szCs w:val="22"/>
        </w:rPr>
        <w:t xml:space="preserve">1. de la loi modifiée du 23 décembre 1998 portant création d’une commission de surveillance du secteur financier; </w:t>
      </w:r>
    </w:p>
    <w:p w:rsidR="003E2BD5" w:rsidRPr="009D2AE3" w:rsidRDefault="00E661CC">
      <w:pPr>
        <w:pStyle w:val="Pa5"/>
        <w:spacing w:line="240" w:lineRule="auto"/>
        <w:jc w:val="both"/>
        <w:rPr>
          <w:rFonts w:ascii="Arial" w:eastAsia="Arial" w:hAnsi="Arial" w:cs="Arial"/>
          <w:sz w:val="22"/>
          <w:szCs w:val="22"/>
        </w:rPr>
      </w:pPr>
      <w:r w:rsidRPr="009D2AE3">
        <w:rPr>
          <w:rFonts w:ascii="Arial" w:hAnsi="Arial" w:cs="Arial"/>
          <w:b/>
          <w:bCs/>
          <w:sz w:val="22"/>
          <w:szCs w:val="22"/>
        </w:rPr>
        <w:t>2. de la loi modifiée du 13 juillet 2005 relative aux institutions de retraite professionnelle sous forme de société</w:t>
      </w:r>
      <w:r w:rsidR="00323CE9" w:rsidRPr="009D2AE3">
        <w:rPr>
          <w:rFonts w:ascii="Arial" w:hAnsi="Arial" w:cs="Arial"/>
          <w:b/>
          <w:bCs/>
          <w:sz w:val="22"/>
          <w:szCs w:val="22"/>
        </w:rPr>
        <w:t xml:space="preserve"> </w:t>
      </w:r>
      <w:r w:rsidRPr="009D2AE3">
        <w:rPr>
          <w:rFonts w:ascii="Arial" w:hAnsi="Arial" w:cs="Arial"/>
          <w:b/>
          <w:bCs/>
          <w:sz w:val="22"/>
          <w:szCs w:val="22"/>
        </w:rPr>
        <w:t>d’épargne-pension à</w:t>
      </w:r>
      <w:r w:rsidR="00323CE9" w:rsidRPr="009D2AE3">
        <w:rPr>
          <w:rFonts w:ascii="Arial" w:hAnsi="Arial" w:cs="Arial"/>
          <w:b/>
          <w:bCs/>
          <w:sz w:val="22"/>
          <w:szCs w:val="22"/>
        </w:rPr>
        <w:t xml:space="preserve"> </w:t>
      </w:r>
      <w:r w:rsidRPr="009D2AE3">
        <w:rPr>
          <w:rFonts w:ascii="Arial" w:hAnsi="Arial" w:cs="Arial"/>
          <w:b/>
          <w:bCs/>
          <w:sz w:val="22"/>
          <w:szCs w:val="22"/>
        </w:rPr>
        <w:t xml:space="preserve">capital variable (sepcav) et d’association d’épargne-pension (assep); </w:t>
      </w:r>
    </w:p>
    <w:p w:rsidR="003E2BD5" w:rsidRPr="009D2AE3" w:rsidRDefault="00E661CC">
      <w:pPr>
        <w:pStyle w:val="Pa5"/>
        <w:spacing w:line="240" w:lineRule="auto"/>
        <w:jc w:val="both"/>
        <w:rPr>
          <w:rFonts w:ascii="Arial" w:eastAsia="Arial" w:hAnsi="Arial" w:cs="Arial"/>
          <w:sz w:val="22"/>
          <w:szCs w:val="22"/>
        </w:rPr>
      </w:pPr>
      <w:r w:rsidRPr="009D2AE3">
        <w:rPr>
          <w:rFonts w:ascii="Arial" w:hAnsi="Arial" w:cs="Arial"/>
          <w:b/>
          <w:bCs/>
          <w:sz w:val="22"/>
          <w:szCs w:val="22"/>
        </w:rPr>
        <w:t xml:space="preserve">3. de la loi modifiée du 10 novembre 2009 relative aux services de paiement; </w:t>
      </w:r>
    </w:p>
    <w:p w:rsidR="003E2BD5" w:rsidRPr="009D2AE3" w:rsidRDefault="00E661CC">
      <w:pPr>
        <w:pStyle w:val="Pa5"/>
        <w:spacing w:line="240" w:lineRule="auto"/>
        <w:jc w:val="both"/>
        <w:rPr>
          <w:rFonts w:ascii="Arial" w:eastAsia="Arial" w:hAnsi="Arial" w:cs="Arial"/>
          <w:sz w:val="22"/>
          <w:szCs w:val="22"/>
        </w:rPr>
      </w:pPr>
      <w:r w:rsidRPr="009D2AE3">
        <w:rPr>
          <w:rFonts w:ascii="Arial" w:hAnsi="Arial" w:cs="Arial"/>
          <w:b/>
          <w:bCs/>
          <w:sz w:val="22"/>
          <w:szCs w:val="22"/>
        </w:rPr>
        <w:t xml:space="preserve">4. de la loi modifiée du 17 décembre 2010 concernant les organismes de placement collectif; </w:t>
      </w:r>
    </w:p>
    <w:p w:rsidR="003E2BD5" w:rsidRPr="009D2AE3" w:rsidRDefault="00E661CC">
      <w:pPr>
        <w:pStyle w:val="Pa5"/>
        <w:spacing w:line="240" w:lineRule="auto"/>
        <w:jc w:val="both"/>
        <w:rPr>
          <w:rFonts w:ascii="Arial" w:eastAsia="Arial" w:hAnsi="Arial" w:cs="Arial"/>
          <w:sz w:val="22"/>
          <w:szCs w:val="22"/>
        </w:rPr>
      </w:pPr>
      <w:r w:rsidRPr="009D2AE3">
        <w:rPr>
          <w:rFonts w:ascii="Arial" w:hAnsi="Arial" w:cs="Arial"/>
          <w:b/>
          <w:bCs/>
          <w:sz w:val="22"/>
          <w:szCs w:val="22"/>
        </w:rPr>
        <w:t xml:space="preserve">5. de la loi du 28 octobre 2011 mettant en </w:t>
      </w:r>
      <w:r w:rsidR="00D72722" w:rsidRPr="009D2AE3">
        <w:rPr>
          <w:rFonts w:ascii="Arial" w:hAnsi="Arial" w:cs="Arial"/>
          <w:b/>
          <w:bCs/>
          <w:sz w:val="22"/>
          <w:szCs w:val="22"/>
        </w:rPr>
        <w:t>œuvre</w:t>
      </w:r>
      <w:r w:rsidRPr="009D2AE3">
        <w:rPr>
          <w:rFonts w:ascii="Arial" w:hAnsi="Arial" w:cs="Arial"/>
          <w:b/>
          <w:bCs/>
          <w:sz w:val="22"/>
          <w:szCs w:val="22"/>
        </w:rPr>
        <w:t xml:space="preserve"> le règlement (CE) n°1060/2009 du 16 septembre 2009; et</w:t>
      </w:r>
    </w:p>
    <w:p w:rsidR="003E2BD5" w:rsidRPr="009D2AE3" w:rsidRDefault="00E661CC">
      <w:pPr>
        <w:pStyle w:val="Pa5"/>
        <w:spacing w:line="240" w:lineRule="auto"/>
        <w:jc w:val="both"/>
        <w:rPr>
          <w:rFonts w:ascii="Arial" w:eastAsia="Arial" w:hAnsi="Arial" w:cs="Arial"/>
          <w:b/>
          <w:bCs/>
          <w:sz w:val="22"/>
          <w:szCs w:val="22"/>
        </w:rPr>
      </w:pPr>
      <w:r w:rsidRPr="009D2AE3">
        <w:rPr>
          <w:rFonts w:ascii="Arial" w:hAnsi="Arial" w:cs="Arial"/>
          <w:b/>
          <w:bCs/>
          <w:sz w:val="22"/>
          <w:szCs w:val="22"/>
        </w:rPr>
        <w:t xml:space="preserve">6. de la loi modifiée du 12 juillet 2013 relative aux gestionnaires de fonds d’investissement alternatifs </w:t>
      </w:r>
    </w:p>
    <w:p w:rsidR="003E2BD5" w:rsidRPr="009D2AE3" w:rsidRDefault="00E661CC">
      <w:pPr>
        <w:pStyle w:val="Body"/>
        <w:tabs>
          <w:tab w:val="center" w:pos="4150"/>
          <w:tab w:val="left" w:pos="6075"/>
        </w:tabs>
        <w:rPr>
          <w:rFonts w:ascii="Arial" w:eastAsia="Arial" w:hAnsi="Arial" w:cs="Arial"/>
          <w:sz w:val="22"/>
          <w:szCs w:val="22"/>
        </w:rPr>
      </w:pPr>
      <w:r w:rsidRPr="009D2AE3">
        <w:rPr>
          <w:rFonts w:ascii="Arial" w:eastAsia="Arial" w:hAnsi="Arial" w:cs="Arial"/>
          <w:sz w:val="22"/>
          <w:szCs w:val="22"/>
        </w:rPr>
        <w:tab/>
      </w:r>
    </w:p>
    <w:p w:rsidR="003E2BD5" w:rsidRDefault="00E661CC" w:rsidP="009C12DF">
      <w:pPr>
        <w:pStyle w:val="Body"/>
        <w:widowControl w:val="0"/>
        <w:jc w:val="both"/>
        <w:rPr>
          <w:rFonts w:ascii="Arial" w:hAnsi="Arial" w:cs="Arial"/>
          <w:sz w:val="22"/>
          <w:szCs w:val="22"/>
        </w:rPr>
      </w:pPr>
      <w:r w:rsidRPr="009C12DF">
        <w:rPr>
          <w:rFonts w:ascii="Arial" w:hAnsi="Arial" w:cs="Arial"/>
          <w:sz w:val="22"/>
          <w:szCs w:val="22"/>
        </w:rPr>
        <w:t xml:space="preserve">Le projet de loi sous rubrique a </w:t>
      </w:r>
      <w:r w:rsidR="003843FD">
        <w:rPr>
          <w:rFonts w:ascii="Arial" w:hAnsi="Arial" w:cs="Arial"/>
          <w:sz w:val="22"/>
          <w:szCs w:val="22"/>
        </w:rPr>
        <w:t>pour</w:t>
      </w:r>
      <w:r w:rsidRPr="009C12DF">
        <w:rPr>
          <w:rFonts w:ascii="Arial" w:hAnsi="Arial" w:cs="Arial"/>
          <w:sz w:val="22"/>
          <w:szCs w:val="22"/>
        </w:rPr>
        <w:t xml:space="preserve"> objet d’assurer la transposition et la mise en</w:t>
      </w:r>
      <w:r w:rsidR="00C27E23" w:rsidRPr="009C12DF">
        <w:rPr>
          <w:rFonts w:ascii="Arial" w:hAnsi="Arial" w:cs="Arial"/>
          <w:sz w:val="22"/>
          <w:szCs w:val="22"/>
        </w:rPr>
        <w:t xml:space="preserve"> </w:t>
      </w:r>
      <w:r w:rsidR="0017168C" w:rsidRPr="009C12DF">
        <w:rPr>
          <w:rFonts w:ascii="Arial" w:hAnsi="Arial" w:cs="Arial"/>
          <w:sz w:val="22"/>
          <w:szCs w:val="22"/>
        </w:rPr>
        <w:t>œuvre</w:t>
      </w:r>
      <w:r w:rsidRPr="009C12DF">
        <w:rPr>
          <w:rFonts w:ascii="Arial" w:hAnsi="Arial" w:cs="Arial"/>
          <w:sz w:val="22"/>
          <w:szCs w:val="22"/>
        </w:rPr>
        <w:t xml:space="preserve"> d’une série de textes européens et apporte des modifications ponctuelles aux lois existantes. </w:t>
      </w:r>
    </w:p>
    <w:p w:rsidR="002A1FB8" w:rsidRPr="009C12DF" w:rsidRDefault="002A1FB8" w:rsidP="009C12DF">
      <w:pPr>
        <w:pStyle w:val="Body"/>
        <w:widowControl w:val="0"/>
        <w:jc w:val="both"/>
        <w:rPr>
          <w:rFonts w:ascii="Arial" w:eastAsia="Arial" w:hAnsi="Arial" w:cs="Arial"/>
          <w:sz w:val="22"/>
          <w:szCs w:val="22"/>
        </w:rPr>
      </w:pPr>
    </w:p>
    <w:p w:rsidR="003E2BD5" w:rsidRDefault="00E661CC" w:rsidP="009C12DF">
      <w:pPr>
        <w:pStyle w:val="Body"/>
        <w:widowControl w:val="0"/>
        <w:jc w:val="both"/>
        <w:rPr>
          <w:rFonts w:ascii="Arial" w:hAnsi="Arial" w:cs="Arial"/>
          <w:i/>
          <w:iCs/>
          <w:sz w:val="22"/>
          <w:szCs w:val="22"/>
        </w:rPr>
      </w:pPr>
      <w:r w:rsidRPr="009C12DF">
        <w:rPr>
          <w:rFonts w:ascii="Arial" w:hAnsi="Arial" w:cs="Arial"/>
          <w:i/>
          <w:iCs/>
          <w:sz w:val="22"/>
          <w:szCs w:val="22"/>
        </w:rPr>
        <w:t xml:space="preserve">Règlement (UE) </w:t>
      </w:r>
      <w:r w:rsidRPr="009C12DF">
        <w:rPr>
          <w:rFonts w:ascii="Arial" w:hAnsi="Arial" w:cs="Arial"/>
          <w:i/>
          <w:iCs/>
          <w:sz w:val="22"/>
          <w:szCs w:val="22"/>
          <w:shd w:val="clear" w:color="auto" w:fill="FFFFFF"/>
        </w:rPr>
        <w:t xml:space="preserve">n°648/2012 </w:t>
      </w:r>
      <w:r w:rsidRPr="009C12DF">
        <w:rPr>
          <w:rFonts w:ascii="Arial" w:hAnsi="Arial" w:cs="Arial"/>
          <w:i/>
          <w:iCs/>
          <w:sz w:val="22"/>
          <w:szCs w:val="22"/>
        </w:rPr>
        <w:t>(EMIR)</w:t>
      </w:r>
    </w:p>
    <w:p w:rsidR="002A1FB8" w:rsidRPr="009C12DF" w:rsidRDefault="002A1FB8" w:rsidP="009C12DF">
      <w:pPr>
        <w:pStyle w:val="Body"/>
        <w:widowControl w:val="0"/>
        <w:jc w:val="both"/>
        <w:rPr>
          <w:rFonts w:ascii="Arial" w:eastAsia="Arial" w:hAnsi="Arial" w:cs="Arial"/>
          <w:i/>
          <w:iCs/>
          <w:sz w:val="22"/>
          <w:szCs w:val="22"/>
        </w:rPr>
      </w:pPr>
    </w:p>
    <w:p w:rsidR="002A1FB8" w:rsidRDefault="003843FD" w:rsidP="009C12DF">
      <w:pPr>
        <w:pStyle w:val="Body"/>
        <w:widowControl w:val="0"/>
        <w:jc w:val="both"/>
        <w:rPr>
          <w:rFonts w:ascii="Arial" w:hAnsi="Arial" w:cs="Arial"/>
          <w:sz w:val="22"/>
          <w:szCs w:val="22"/>
        </w:rPr>
      </w:pPr>
      <w:r>
        <w:rPr>
          <w:rFonts w:ascii="Arial" w:hAnsi="Arial" w:cs="Arial"/>
          <w:sz w:val="22"/>
          <w:szCs w:val="22"/>
        </w:rPr>
        <w:t>L</w:t>
      </w:r>
      <w:r w:rsidR="00E661CC" w:rsidRPr="009C12DF">
        <w:rPr>
          <w:rFonts w:ascii="Arial" w:hAnsi="Arial" w:cs="Arial"/>
          <w:sz w:val="22"/>
          <w:szCs w:val="22"/>
        </w:rPr>
        <w:t xml:space="preserve">e projet de loi assure plus particulièrement la mise en </w:t>
      </w:r>
      <w:r w:rsidR="0017168C" w:rsidRPr="009C12DF">
        <w:rPr>
          <w:rFonts w:ascii="Arial" w:hAnsi="Arial" w:cs="Arial"/>
          <w:sz w:val="22"/>
          <w:szCs w:val="22"/>
        </w:rPr>
        <w:t>œuvre</w:t>
      </w:r>
      <w:r w:rsidR="00E661CC" w:rsidRPr="009C12DF">
        <w:rPr>
          <w:rFonts w:ascii="Arial" w:hAnsi="Arial" w:cs="Arial"/>
          <w:sz w:val="22"/>
          <w:szCs w:val="22"/>
        </w:rPr>
        <w:t xml:space="preserve"> du règlement (UE) n°648/2012</w:t>
      </w:r>
      <w:r>
        <w:rPr>
          <w:rFonts w:ascii="Arial" w:hAnsi="Arial" w:cs="Arial"/>
          <w:sz w:val="22"/>
          <w:szCs w:val="22"/>
        </w:rPr>
        <w:t>.</w:t>
      </w:r>
      <w:r w:rsidR="00E661CC" w:rsidRPr="009C12DF">
        <w:rPr>
          <w:rFonts w:ascii="Arial" w:hAnsi="Arial" w:cs="Arial"/>
          <w:sz w:val="22"/>
          <w:szCs w:val="22"/>
        </w:rPr>
        <w:t xml:space="preserve"> Bien que le règlement soit d’application directe dans tous les Etats membres de l’UE, il incombe aux Etats membres de désigner les autorités compétentes nationales en charge des différentes missions définies par le règlement, de les doter des pouvoirs nécessaires à</w:t>
      </w:r>
      <w:r w:rsidR="00C27E23" w:rsidRPr="009C12DF">
        <w:rPr>
          <w:rFonts w:ascii="Arial" w:hAnsi="Arial" w:cs="Arial"/>
          <w:sz w:val="22"/>
          <w:szCs w:val="22"/>
        </w:rPr>
        <w:t xml:space="preserve"> </w:t>
      </w:r>
      <w:r w:rsidR="00E661CC" w:rsidRPr="009C12DF">
        <w:rPr>
          <w:rFonts w:ascii="Arial" w:hAnsi="Arial" w:cs="Arial"/>
          <w:sz w:val="22"/>
          <w:szCs w:val="22"/>
        </w:rPr>
        <w:t>l’accomplissement de leurs missions et de déterminer le régime des sanctions applicables en cas de non-respect dudit règlement. La CSSF est l’autorité</w:t>
      </w:r>
      <w:r w:rsidR="001F703F" w:rsidRPr="009C12DF">
        <w:rPr>
          <w:rFonts w:ascii="Arial" w:hAnsi="Arial" w:cs="Arial"/>
          <w:sz w:val="22"/>
          <w:szCs w:val="22"/>
        </w:rPr>
        <w:t xml:space="preserve"> </w:t>
      </w:r>
      <w:r w:rsidR="00E661CC" w:rsidRPr="009C12DF">
        <w:rPr>
          <w:rFonts w:ascii="Arial" w:hAnsi="Arial" w:cs="Arial"/>
          <w:sz w:val="22"/>
          <w:szCs w:val="22"/>
        </w:rPr>
        <w:t>compétente chargée de veiller à</w:t>
      </w:r>
      <w:r w:rsidR="001F703F" w:rsidRPr="009C12DF">
        <w:rPr>
          <w:rFonts w:ascii="Arial" w:hAnsi="Arial" w:cs="Arial"/>
          <w:sz w:val="22"/>
          <w:szCs w:val="22"/>
        </w:rPr>
        <w:t xml:space="preserve"> </w:t>
      </w:r>
      <w:r w:rsidR="00E661CC" w:rsidRPr="009C12DF">
        <w:rPr>
          <w:rFonts w:ascii="Arial" w:hAnsi="Arial" w:cs="Arial"/>
          <w:sz w:val="22"/>
          <w:szCs w:val="22"/>
        </w:rPr>
        <w:t>l’application du règlement, sans préjudice des compétences légales qui incombent à</w:t>
      </w:r>
      <w:r w:rsidR="001F703F" w:rsidRPr="009C12DF">
        <w:rPr>
          <w:rFonts w:ascii="Arial" w:hAnsi="Arial" w:cs="Arial"/>
          <w:sz w:val="22"/>
          <w:szCs w:val="22"/>
        </w:rPr>
        <w:t xml:space="preserve"> </w:t>
      </w:r>
      <w:r w:rsidR="00E661CC" w:rsidRPr="009C12DF">
        <w:rPr>
          <w:rFonts w:ascii="Arial" w:hAnsi="Arial" w:cs="Arial"/>
          <w:sz w:val="22"/>
          <w:szCs w:val="22"/>
        </w:rPr>
        <w:t xml:space="preserve">la Banque centrale du Luxembourg en tant que membre du système européen de banques centrales et des compétences légales que le projet de loi attribue au Commissariat </w:t>
      </w:r>
      <w:r w:rsidR="00E661CC" w:rsidRPr="009C12DF">
        <w:rPr>
          <w:rFonts w:ascii="Arial" w:hAnsi="Arial" w:cs="Arial"/>
          <w:sz w:val="22"/>
          <w:szCs w:val="22"/>
        </w:rPr>
        <w:lastRenderedPageBreak/>
        <w:t>aux assurances. Ce dernier est en effet l’autorité</w:t>
      </w:r>
      <w:r w:rsidR="001F703F" w:rsidRPr="009C12DF">
        <w:rPr>
          <w:rFonts w:ascii="Arial" w:hAnsi="Arial" w:cs="Arial"/>
          <w:sz w:val="22"/>
          <w:szCs w:val="22"/>
        </w:rPr>
        <w:t xml:space="preserve"> </w:t>
      </w:r>
      <w:r w:rsidR="00E661CC" w:rsidRPr="009C12DF">
        <w:rPr>
          <w:rFonts w:ascii="Arial" w:hAnsi="Arial" w:cs="Arial"/>
          <w:sz w:val="22"/>
          <w:szCs w:val="22"/>
        </w:rPr>
        <w:t>compétente à</w:t>
      </w:r>
      <w:r w:rsidR="001F703F" w:rsidRPr="009C12DF">
        <w:rPr>
          <w:rFonts w:ascii="Arial" w:hAnsi="Arial" w:cs="Arial"/>
          <w:sz w:val="22"/>
          <w:szCs w:val="22"/>
        </w:rPr>
        <w:t xml:space="preserve"> </w:t>
      </w:r>
      <w:r w:rsidR="00E661CC" w:rsidRPr="009C12DF">
        <w:rPr>
          <w:rFonts w:ascii="Arial" w:hAnsi="Arial" w:cs="Arial"/>
          <w:sz w:val="22"/>
          <w:szCs w:val="22"/>
        </w:rPr>
        <w:t>l’égard des contreparties financières soumises à</w:t>
      </w:r>
      <w:r w:rsidR="001F703F" w:rsidRPr="009C12DF">
        <w:rPr>
          <w:rFonts w:ascii="Arial" w:hAnsi="Arial" w:cs="Arial"/>
          <w:sz w:val="22"/>
          <w:szCs w:val="22"/>
        </w:rPr>
        <w:t xml:space="preserve"> </w:t>
      </w:r>
      <w:r w:rsidR="00E661CC" w:rsidRPr="009C12DF">
        <w:rPr>
          <w:rFonts w:ascii="Arial" w:hAnsi="Arial" w:cs="Arial"/>
          <w:sz w:val="22"/>
          <w:szCs w:val="22"/>
        </w:rPr>
        <w:t xml:space="preserve">sa surveillance. </w:t>
      </w:r>
    </w:p>
    <w:p w:rsidR="003843FD" w:rsidRPr="009C12DF" w:rsidRDefault="003843FD" w:rsidP="009C12DF">
      <w:pPr>
        <w:pStyle w:val="Body"/>
        <w:widowControl w:val="0"/>
        <w:jc w:val="both"/>
        <w:rPr>
          <w:rFonts w:ascii="Arial" w:eastAsia="Arial" w:hAnsi="Arial" w:cs="Arial"/>
          <w:sz w:val="22"/>
          <w:szCs w:val="22"/>
        </w:rPr>
      </w:pPr>
    </w:p>
    <w:p w:rsidR="003E2BD5" w:rsidRDefault="00E661CC" w:rsidP="009C12DF">
      <w:pPr>
        <w:pStyle w:val="Body"/>
        <w:widowControl w:val="0"/>
        <w:jc w:val="both"/>
        <w:rPr>
          <w:rFonts w:ascii="Arial" w:hAnsi="Arial" w:cs="Arial"/>
          <w:i/>
          <w:iCs/>
          <w:sz w:val="22"/>
          <w:szCs w:val="22"/>
        </w:rPr>
      </w:pPr>
      <w:r w:rsidRPr="009C12DF">
        <w:rPr>
          <w:rFonts w:ascii="Arial" w:hAnsi="Arial" w:cs="Arial"/>
          <w:i/>
          <w:iCs/>
          <w:sz w:val="22"/>
          <w:szCs w:val="22"/>
        </w:rPr>
        <w:t>Loi modifiée du 10 novembre 2009 (adaptations techniques requises par le règlement EMIR)</w:t>
      </w:r>
    </w:p>
    <w:p w:rsidR="002A1FB8" w:rsidRPr="009C12DF" w:rsidRDefault="002A1FB8" w:rsidP="009C12DF">
      <w:pPr>
        <w:pStyle w:val="Body"/>
        <w:widowControl w:val="0"/>
        <w:jc w:val="both"/>
        <w:rPr>
          <w:rFonts w:ascii="Arial" w:eastAsia="Arial" w:hAnsi="Arial" w:cs="Arial"/>
          <w:i/>
          <w:iCs/>
          <w:sz w:val="22"/>
          <w:szCs w:val="22"/>
        </w:rPr>
      </w:pPr>
    </w:p>
    <w:p w:rsidR="003E2BD5" w:rsidRDefault="00E661CC" w:rsidP="009C12DF">
      <w:pPr>
        <w:pStyle w:val="Body"/>
        <w:widowControl w:val="0"/>
        <w:jc w:val="both"/>
        <w:rPr>
          <w:rFonts w:ascii="Arial" w:hAnsi="Arial" w:cs="Arial"/>
          <w:sz w:val="22"/>
          <w:szCs w:val="22"/>
        </w:rPr>
      </w:pPr>
      <w:r w:rsidRPr="009C12DF">
        <w:rPr>
          <w:rFonts w:ascii="Arial" w:hAnsi="Arial" w:cs="Arial"/>
          <w:sz w:val="22"/>
          <w:szCs w:val="22"/>
        </w:rPr>
        <w:t>Le projet de loi modifie par ailleurs la loi modifiée du 10 novembre 2009 relative aux services de paiement afin d’y insérer les nouvelles règles d’interopérabilité</w:t>
      </w:r>
      <w:r w:rsidR="00C72EC7" w:rsidRPr="009C12DF">
        <w:rPr>
          <w:rFonts w:ascii="Arial" w:hAnsi="Arial" w:cs="Arial"/>
          <w:sz w:val="22"/>
          <w:szCs w:val="22"/>
        </w:rPr>
        <w:t xml:space="preserve"> </w:t>
      </w:r>
      <w:r w:rsidRPr="009C12DF">
        <w:rPr>
          <w:rFonts w:ascii="Arial" w:hAnsi="Arial" w:cs="Arial"/>
          <w:sz w:val="22"/>
          <w:szCs w:val="22"/>
        </w:rPr>
        <w:t xml:space="preserve">des systèmes prévues dans le règlement (UE) n°648/2012, de mettre en </w:t>
      </w:r>
      <w:r w:rsidR="0017168C" w:rsidRPr="009C12DF">
        <w:rPr>
          <w:rFonts w:ascii="Arial" w:hAnsi="Arial" w:cs="Arial"/>
          <w:sz w:val="22"/>
          <w:szCs w:val="22"/>
        </w:rPr>
        <w:t>œuvre</w:t>
      </w:r>
      <w:r w:rsidRPr="009C12DF">
        <w:rPr>
          <w:rFonts w:ascii="Arial" w:hAnsi="Arial" w:cs="Arial"/>
          <w:sz w:val="22"/>
          <w:szCs w:val="22"/>
        </w:rPr>
        <w:t xml:space="preserve"> le règlement (UE) n°260/2012 établissant des exigences techniques et commerciales pour les virements et les prélèvements en euros</w:t>
      </w:r>
      <w:r w:rsidR="00C72EC7" w:rsidRPr="009C12DF">
        <w:rPr>
          <w:rFonts w:ascii="Arial" w:hAnsi="Arial" w:cs="Arial"/>
          <w:sz w:val="22"/>
          <w:szCs w:val="22"/>
        </w:rPr>
        <w:t xml:space="preserve"> </w:t>
      </w:r>
      <w:r w:rsidRPr="009C12DF">
        <w:rPr>
          <w:rFonts w:ascii="Arial" w:hAnsi="Arial" w:cs="Arial"/>
          <w:sz w:val="22"/>
          <w:szCs w:val="22"/>
        </w:rPr>
        <w:t>et de lever une ambiguïté</w:t>
      </w:r>
      <w:r w:rsidR="00C72EC7" w:rsidRPr="009C12DF">
        <w:rPr>
          <w:rFonts w:ascii="Arial" w:hAnsi="Arial" w:cs="Arial"/>
          <w:sz w:val="22"/>
          <w:szCs w:val="22"/>
        </w:rPr>
        <w:t xml:space="preserve"> </w:t>
      </w:r>
      <w:r w:rsidRPr="009C12DF">
        <w:rPr>
          <w:rFonts w:ascii="Arial" w:hAnsi="Arial" w:cs="Arial"/>
          <w:sz w:val="22"/>
          <w:szCs w:val="22"/>
        </w:rPr>
        <w:t>quant au libre choix du dépositaire auquel les établissements de paiement ont recours pour protéger les fonds qu’ils ont reçus en échange d’opérations de paiement ou d’émission de monnaie électronique.</w:t>
      </w:r>
    </w:p>
    <w:p w:rsidR="002A1FB8" w:rsidRPr="009C12DF" w:rsidRDefault="002A1FB8" w:rsidP="009C12DF">
      <w:pPr>
        <w:pStyle w:val="Body"/>
        <w:widowControl w:val="0"/>
        <w:jc w:val="both"/>
        <w:rPr>
          <w:rFonts w:ascii="Arial" w:eastAsia="Arial" w:hAnsi="Arial" w:cs="Arial"/>
          <w:sz w:val="22"/>
          <w:szCs w:val="22"/>
        </w:rPr>
      </w:pPr>
    </w:p>
    <w:p w:rsidR="003E2BD5" w:rsidRDefault="00E661CC" w:rsidP="009C12DF">
      <w:pPr>
        <w:pStyle w:val="Body"/>
        <w:widowControl w:val="0"/>
        <w:jc w:val="both"/>
        <w:rPr>
          <w:rFonts w:ascii="Arial" w:hAnsi="Arial" w:cs="Arial"/>
          <w:i/>
          <w:iCs/>
          <w:sz w:val="22"/>
          <w:szCs w:val="22"/>
        </w:rPr>
      </w:pPr>
      <w:r w:rsidRPr="009C12DF">
        <w:rPr>
          <w:rFonts w:ascii="Arial" w:hAnsi="Arial" w:cs="Arial"/>
          <w:i/>
          <w:iCs/>
          <w:sz w:val="22"/>
          <w:szCs w:val="22"/>
        </w:rPr>
        <w:t>Loi modifiée du 10 novembre 2009 (TARGET2-Securities)</w:t>
      </w:r>
    </w:p>
    <w:p w:rsidR="002A1FB8" w:rsidRPr="009C12DF" w:rsidRDefault="002A1FB8" w:rsidP="009C12DF">
      <w:pPr>
        <w:pStyle w:val="Body"/>
        <w:widowControl w:val="0"/>
        <w:jc w:val="both"/>
        <w:rPr>
          <w:rFonts w:ascii="Arial" w:eastAsia="Arial" w:hAnsi="Arial" w:cs="Arial"/>
          <w:sz w:val="22"/>
          <w:szCs w:val="22"/>
        </w:rPr>
      </w:pPr>
    </w:p>
    <w:p w:rsidR="003E2BD5" w:rsidRDefault="00E661CC" w:rsidP="009C12DF">
      <w:pPr>
        <w:pStyle w:val="Body"/>
        <w:widowControl w:val="0"/>
        <w:jc w:val="both"/>
        <w:rPr>
          <w:rFonts w:ascii="Arial" w:hAnsi="Arial" w:cs="Arial"/>
          <w:sz w:val="22"/>
          <w:szCs w:val="22"/>
        </w:rPr>
      </w:pPr>
      <w:r w:rsidRPr="009C12DF">
        <w:rPr>
          <w:rFonts w:ascii="Arial" w:hAnsi="Arial" w:cs="Arial"/>
          <w:sz w:val="22"/>
          <w:szCs w:val="22"/>
        </w:rPr>
        <w:t>Enfin, la loi modifiée du 10 novembre 2009 relative aux services de paiement est modifiée afin de faciliter le bon fonctionnement de TARGET2-Securities (T2S) qui est un projet Eurosystème, lancé</w:t>
      </w:r>
      <w:r w:rsidR="00C72EC7" w:rsidRPr="009C12DF">
        <w:rPr>
          <w:rFonts w:ascii="Arial" w:hAnsi="Arial" w:cs="Arial"/>
          <w:sz w:val="22"/>
          <w:szCs w:val="22"/>
        </w:rPr>
        <w:t xml:space="preserve"> </w:t>
      </w:r>
      <w:r w:rsidRPr="009C12DF">
        <w:rPr>
          <w:rFonts w:ascii="Arial" w:hAnsi="Arial" w:cs="Arial"/>
          <w:sz w:val="22"/>
          <w:szCs w:val="22"/>
        </w:rPr>
        <w:t>le 17 juillet 2008 et mis en œuvre depuis juin 2015, de création d’une plate-forme technique à</w:t>
      </w:r>
      <w:r w:rsidR="00C72EC7" w:rsidRPr="009C12DF">
        <w:rPr>
          <w:rFonts w:ascii="Arial" w:hAnsi="Arial" w:cs="Arial"/>
          <w:sz w:val="22"/>
          <w:szCs w:val="22"/>
        </w:rPr>
        <w:t xml:space="preserve"> </w:t>
      </w:r>
      <w:r w:rsidRPr="009C12DF">
        <w:rPr>
          <w:rFonts w:ascii="Arial" w:hAnsi="Arial" w:cs="Arial"/>
          <w:sz w:val="22"/>
          <w:szCs w:val="22"/>
        </w:rPr>
        <w:t>laquelle les dépositaires centraux de titres vont confier la gestion de leur activité</w:t>
      </w:r>
      <w:r w:rsidR="00C72EC7" w:rsidRPr="009C12DF">
        <w:rPr>
          <w:rFonts w:ascii="Arial" w:hAnsi="Arial" w:cs="Arial"/>
          <w:sz w:val="22"/>
          <w:szCs w:val="22"/>
        </w:rPr>
        <w:t xml:space="preserve"> </w:t>
      </w:r>
      <w:r w:rsidRPr="009C12DF">
        <w:rPr>
          <w:rFonts w:ascii="Arial" w:hAnsi="Arial" w:cs="Arial"/>
          <w:sz w:val="22"/>
          <w:szCs w:val="22"/>
        </w:rPr>
        <w:t>de règlement-livraison de titres en monnaie banque centrale selon des modalités harmonisées. A l’avenir, la majorité</w:t>
      </w:r>
      <w:r w:rsidR="00C72EC7" w:rsidRPr="009C12DF">
        <w:rPr>
          <w:rFonts w:ascii="Arial" w:hAnsi="Arial" w:cs="Arial"/>
          <w:sz w:val="22"/>
          <w:szCs w:val="22"/>
        </w:rPr>
        <w:t xml:space="preserve"> </w:t>
      </w:r>
      <w:r w:rsidRPr="009C12DF">
        <w:rPr>
          <w:rFonts w:ascii="Arial" w:hAnsi="Arial" w:cs="Arial"/>
          <w:sz w:val="22"/>
          <w:szCs w:val="22"/>
        </w:rPr>
        <w:t>des règlements en monnaie de banque centrale des titres négociés en Europe se feront via le T2S, ce qui permettra de réaliser d’importantes économies d’échelle et de réduire ainsi les coûts.</w:t>
      </w:r>
    </w:p>
    <w:p w:rsidR="002A1FB8" w:rsidRPr="009C12DF" w:rsidRDefault="002A1FB8" w:rsidP="009C12DF">
      <w:pPr>
        <w:pStyle w:val="Body"/>
        <w:widowControl w:val="0"/>
        <w:jc w:val="both"/>
        <w:rPr>
          <w:rFonts w:ascii="Arial" w:eastAsia="Arial" w:hAnsi="Arial" w:cs="Arial"/>
          <w:sz w:val="22"/>
          <w:szCs w:val="22"/>
        </w:rPr>
      </w:pPr>
    </w:p>
    <w:p w:rsidR="003E2BD5" w:rsidRDefault="00E661CC" w:rsidP="009C12DF">
      <w:pPr>
        <w:pStyle w:val="Body"/>
        <w:widowControl w:val="0"/>
        <w:jc w:val="both"/>
        <w:rPr>
          <w:rFonts w:ascii="Arial" w:hAnsi="Arial" w:cs="Arial"/>
          <w:i/>
          <w:iCs/>
          <w:sz w:val="22"/>
          <w:szCs w:val="22"/>
        </w:rPr>
      </w:pPr>
      <w:r w:rsidRPr="009C12DF">
        <w:rPr>
          <w:rFonts w:ascii="Arial" w:hAnsi="Arial" w:cs="Arial"/>
          <w:i/>
          <w:iCs/>
          <w:sz w:val="22"/>
          <w:szCs w:val="22"/>
        </w:rPr>
        <w:t>Directive 2013/14/UE et règlement CRA 3 (Agences de notations)</w:t>
      </w:r>
    </w:p>
    <w:p w:rsidR="002A1FB8" w:rsidRPr="009C12DF" w:rsidRDefault="002A1FB8" w:rsidP="009C12DF">
      <w:pPr>
        <w:pStyle w:val="Body"/>
        <w:widowControl w:val="0"/>
        <w:jc w:val="both"/>
        <w:rPr>
          <w:rFonts w:ascii="Arial" w:eastAsia="Arial" w:hAnsi="Arial" w:cs="Arial"/>
          <w:i/>
          <w:iCs/>
          <w:sz w:val="22"/>
          <w:szCs w:val="22"/>
        </w:rPr>
      </w:pPr>
    </w:p>
    <w:p w:rsidR="003E2BD5" w:rsidRDefault="00E661CC" w:rsidP="009C12DF">
      <w:pPr>
        <w:pStyle w:val="Body"/>
        <w:jc w:val="both"/>
        <w:rPr>
          <w:rFonts w:ascii="Arial" w:hAnsi="Arial" w:cs="Arial"/>
          <w:sz w:val="22"/>
          <w:szCs w:val="22"/>
        </w:rPr>
      </w:pPr>
      <w:r w:rsidRPr="009C12DF">
        <w:rPr>
          <w:rFonts w:ascii="Arial" w:hAnsi="Arial" w:cs="Arial"/>
          <w:sz w:val="22"/>
          <w:szCs w:val="22"/>
        </w:rPr>
        <w:t xml:space="preserve">Le projet de loi transpose également en droit luxembourgeois la directive 2013/14/UE du 21 mai 2013 et met en </w:t>
      </w:r>
      <w:r w:rsidR="0017168C" w:rsidRPr="009C12DF">
        <w:rPr>
          <w:rFonts w:ascii="Arial" w:hAnsi="Arial" w:cs="Arial"/>
          <w:sz w:val="22"/>
          <w:szCs w:val="22"/>
        </w:rPr>
        <w:t>œuvre</w:t>
      </w:r>
      <w:r w:rsidRPr="009C12DF">
        <w:rPr>
          <w:rFonts w:ascii="Arial" w:hAnsi="Arial" w:cs="Arial"/>
          <w:sz w:val="22"/>
          <w:szCs w:val="22"/>
        </w:rPr>
        <w:t xml:space="preserve"> certaines dispositions du règlement (UE) n°462/2013 du Parlement européen et du Conseil du 21 mai 2013 modifiant le règlement (CE) n°1060/2009 sur les agences de notation de crédit (ci-après « règlement CRA 3 »).</w:t>
      </w:r>
    </w:p>
    <w:p w:rsidR="002A1FB8" w:rsidRPr="009C12DF" w:rsidRDefault="002A1FB8" w:rsidP="009C12DF">
      <w:pPr>
        <w:pStyle w:val="Body"/>
        <w:jc w:val="both"/>
        <w:rPr>
          <w:rFonts w:ascii="Arial" w:eastAsia="Arial" w:hAnsi="Arial" w:cs="Arial"/>
          <w:sz w:val="22"/>
          <w:szCs w:val="22"/>
        </w:rPr>
      </w:pPr>
    </w:p>
    <w:p w:rsidR="003E2BD5" w:rsidRPr="002A1FB8" w:rsidRDefault="00E661CC" w:rsidP="002A1FB8">
      <w:pPr>
        <w:pStyle w:val="Paragraphedeliste"/>
        <w:numPr>
          <w:ilvl w:val="0"/>
          <w:numId w:val="9"/>
        </w:numPr>
        <w:tabs>
          <w:tab w:val="num" w:pos="284"/>
        </w:tabs>
        <w:spacing w:after="0" w:line="240" w:lineRule="auto"/>
        <w:ind w:left="0"/>
        <w:jc w:val="both"/>
        <w:rPr>
          <w:rFonts w:ascii="Arial" w:eastAsia="Arial" w:hAnsi="Arial" w:cs="Arial"/>
        </w:rPr>
      </w:pPr>
      <w:r w:rsidRPr="009C12DF">
        <w:rPr>
          <w:rFonts w:ascii="Arial" w:hAnsi="Arial" w:cs="Arial"/>
        </w:rPr>
        <w:t>La directive 2013/14/UE introduit des exigences relatives aux méthodes et systèmes de gestion des risques des institutions de retraite professionnelle, des sociétés de gestion des OPCVM et des gestionnaires de fonds d’investissement alternatifs afin d’améliorer la qualité</w:t>
      </w:r>
      <w:r w:rsidR="00255420" w:rsidRPr="009C12DF">
        <w:rPr>
          <w:rFonts w:ascii="Arial" w:hAnsi="Arial" w:cs="Arial"/>
        </w:rPr>
        <w:t xml:space="preserve"> </w:t>
      </w:r>
      <w:r w:rsidRPr="009C12DF">
        <w:rPr>
          <w:rFonts w:ascii="Arial" w:hAnsi="Arial" w:cs="Arial"/>
        </w:rPr>
        <w:t xml:space="preserve">des investissements effectués par ces entités et, ainsi, de protéger les investisseurs. </w:t>
      </w:r>
    </w:p>
    <w:p w:rsidR="002A1FB8" w:rsidRPr="00A00E63" w:rsidRDefault="002A1FB8" w:rsidP="002A1FB8">
      <w:pPr>
        <w:tabs>
          <w:tab w:val="num" w:pos="284"/>
        </w:tabs>
        <w:jc w:val="both"/>
        <w:rPr>
          <w:rFonts w:ascii="Arial" w:eastAsia="Arial" w:hAnsi="Arial" w:cs="Arial"/>
          <w:lang w:val="fr-LU"/>
        </w:rPr>
      </w:pPr>
    </w:p>
    <w:p w:rsidR="003E2BD5" w:rsidRPr="002A1FB8" w:rsidRDefault="00E661CC" w:rsidP="002A1FB8">
      <w:pPr>
        <w:pStyle w:val="Paragraphedeliste"/>
        <w:numPr>
          <w:ilvl w:val="0"/>
          <w:numId w:val="10"/>
        </w:numPr>
        <w:tabs>
          <w:tab w:val="num" w:pos="284"/>
        </w:tabs>
        <w:spacing w:after="0" w:line="240" w:lineRule="auto"/>
        <w:ind w:left="0"/>
        <w:jc w:val="both"/>
        <w:rPr>
          <w:rFonts w:ascii="Arial" w:eastAsia="Arial" w:hAnsi="Arial" w:cs="Arial"/>
        </w:rPr>
      </w:pPr>
      <w:r w:rsidRPr="009C12DF">
        <w:rPr>
          <w:rFonts w:ascii="Arial" w:hAnsi="Arial" w:cs="Arial"/>
        </w:rPr>
        <w:t>Le règlement CRA 3 introduit dans le chef d’émetteurs, initiateurs ou sponsors d’instruments financiers structurés une obligation de publication d’informations pertinentes. L’objectif est de mettre à</w:t>
      </w:r>
      <w:r w:rsidR="00255420" w:rsidRPr="009C12DF">
        <w:rPr>
          <w:rFonts w:ascii="Arial" w:hAnsi="Arial" w:cs="Arial"/>
        </w:rPr>
        <w:t xml:space="preserve"> </w:t>
      </w:r>
      <w:r w:rsidRPr="009C12DF">
        <w:rPr>
          <w:rFonts w:ascii="Arial" w:hAnsi="Arial" w:cs="Arial"/>
        </w:rPr>
        <w:t>disposition des investisseurs une information suffisante qui les met en mesure d’évaluer, en connaissance de cause, la qualité</w:t>
      </w:r>
      <w:r w:rsidR="00512599">
        <w:rPr>
          <w:rFonts w:ascii="Arial" w:hAnsi="Arial" w:cs="Arial"/>
        </w:rPr>
        <w:t xml:space="preserve"> </w:t>
      </w:r>
      <w:r w:rsidRPr="009C12DF">
        <w:rPr>
          <w:rFonts w:ascii="Arial" w:hAnsi="Arial" w:cs="Arial"/>
        </w:rPr>
        <w:t>de crédit de manière à</w:t>
      </w:r>
      <w:r w:rsidR="00255420" w:rsidRPr="009C12DF">
        <w:rPr>
          <w:rFonts w:ascii="Arial" w:hAnsi="Arial" w:cs="Arial"/>
        </w:rPr>
        <w:t xml:space="preserve"> </w:t>
      </w:r>
      <w:r w:rsidRPr="009C12DF">
        <w:rPr>
          <w:rFonts w:ascii="Arial" w:hAnsi="Arial" w:cs="Arial"/>
        </w:rPr>
        <w:t>réduire leur dépendance vis-à-vis des notations de crédit. Le règlement CRA 3 vise également à</w:t>
      </w:r>
      <w:r w:rsidR="00255420" w:rsidRPr="009C12DF">
        <w:rPr>
          <w:rFonts w:ascii="Arial" w:hAnsi="Arial" w:cs="Arial"/>
        </w:rPr>
        <w:t xml:space="preserve"> </w:t>
      </w:r>
      <w:r w:rsidRPr="009C12DF">
        <w:rPr>
          <w:rFonts w:ascii="Arial" w:hAnsi="Arial" w:cs="Arial"/>
        </w:rPr>
        <w:t>encourager le recours à</w:t>
      </w:r>
      <w:r w:rsidR="00255420" w:rsidRPr="009C12DF">
        <w:rPr>
          <w:rFonts w:ascii="Arial" w:hAnsi="Arial" w:cs="Arial"/>
        </w:rPr>
        <w:t xml:space="preserve"> </w:t>
      </w:r>
      <w:r w:rsidRPr="009C12DF">
        <w:rPr>
          <w:rFonts w:ascii="Arial" w:hAnsi="Arial" w:cs="Arial"/>
        </w:rPr>
        <w:t>des agences de notation de crédit de petite taille afin de promouvoir la concurrence sur un marché</w:t>
      </w:r>
      <w:r w:rsidR="00255420" w:rsidRPr="009C12DF">
        <w:rPr>
          <w:rFonts w:ascii="Arial" w:hAnsi="Arial" w:cs="Arial"/>
        </w:rPr>
        <w:t xml:space="preserve"> </w:t>
      </w:r>
      <w:r w:rsidRPr="009C12DF">
        <w:rPr>
          <w:rFonts w:ascii="Arial" w:hAnsi="Arial" w:cs="Arial"/>
        </w:rPr>
        <w:t>actuellement dominé</w:t>
      </w:r>
      <w:r w:rsidR="00255420" w:rsidRPr="009C12DF">
        <w:rPr>
          <w:rFonts w:ascii="Arial" w:hAnsi="Arial" w:cs="Arial"/>
        </w:rPr>
        <w:t xml:space="preserve"> </w:t>
      </w:r>
      <w:r w:rsidRPr="009C12DF">
        <w:rPr>
          <w:rFonts w:ascii="Arial" w:hAnsi="Arial" w:cs="Arial"/>
        </w:rPr>
        <w:t>par un nombre très restreint de grandes agences de notation de crédit.</w:t>
      </w:r>
    </w:p>
    <w:p w:rsidR="002A1FB8" w:rsidRPr="00A00E63" w:rsidRDefault="002A1FB8" w:rsidP="00A2359D">
      <w:pPr>
        <w:tabs>
          <w:tab w:val="num" w:pos="284"/>
        </w:tabs>
        <w:jc w:val="both"/>
        <w:rPr>
          <w:rFonts w:ascii="Arial" w:eastAsia="Arial" w:hAnsi="Arial" w:cs="Arial"/>
          <w:lang w:val="fr-LU"/>
        </w:rPr>
      </w:pPr>
    </w:p>
    <w:p w:rsidR="003E2BD5" w:rsidRDefault="00E661CC" w:rsidP="002A1FB8">
      <w:pPr>
        <w:pStyle w:val="Body"/>
        <w:widowControl w:val="0"/>
        <w:tabs>
          <w:tab w:val="num" w:pos="284"/>
        </w:tabs>
        <w:jc w:val="both"/>
        <w:rPr>
          <w:rFonts w:ascii="Arial" w:hAnsi="Arial" w:cs="Arial"/>
          <w:i/>
          <w:iCs/>
          <w:sz w:val="22"/>
          <w:szCs w:val="22"/>
        </w:rPr>
      </w:pPr>
      <w:r w:rsidRPr="009C12DF">
        <w:rPr>
          <w:rFonts w:ascii="Arial" w:hAnsi="Arial" w:cs="Arial"/>
          <w:i/>
          <w:iCs/>
          <w:sz w:val="22"/>
          <w:szCs w:val="22"/>
        </w:rPr>
        <w:t>Surveillance des conglomérats financiers</w:t>
      </w:r>
    </w:p>
    <w:p w:rsidR="002A1FB8" w:rsidRPr="009C12DF" w:rsidRDefault="002A1FB8" w:rsidP="002A1FB8">
      <w:pPr>
        <w:pStyle w:val="Body"/>
        <w:widowControl w:val="0"/>
        <w:tabs>
          <w:tab w:val="num" w:pos="284"/>
        </w:tabs>
        <w:jc w:val="both"/>
        <w:rPr>
          <w:rFonts w:ascii="Arial" w:eastAsia="Arial" w:hAnsi="Arial" w:cs="Arial"/>
          <w:i/>
          <w:iCs/>
          <w:sz w:val="22"/>
          <w:szCs w:val="22"/>
        </w:rPr>
      </w:pPr>
    </w:p>
    <w:p w:rsidR="00DB329C" w:rsidRPr="009C12DF" w:rsidRDefault="00E661CC" w:rsidP="002A1FB8">
      <w:pPr>
        <w:pStyle w:val="Body"/>
        <w:widowControl w:val="0"/>
        <w:tabs>
          <w:tab w:val="num" w:pos="284"/>
        </w:tabs>
        <w:jc w:val="both"/>
        <w:rPr>
          <w:rFonts w:ascii="Arial" w:hAnsi="Arial" w:cs="Arial"/>
          <w:sz w:val="22"/>
          <w:szCs w:val="22"/>
        </w:rPr>
      </w:pPr>
      <w:r w:rsidRPr="009C12DF">
        <w:rPr>
          <w:rFonts w:ascii="Arial" w:hAnsi="Arial" w:cs="Arial"/>
          <w:sz w:val="22"/>
          <w:szCs w:val="22"/>
        </w:rPr>
        <w:t>Enfin, diverses lois sectorielles régissant les services financiers sont modifiées pour tenir compte de l’évolution du droit européen en matière de surveillance des conglomérats financiers. Les sociétés de gestion et les gestionnaires de fonds d’investissement alternatifs font désormais partie des entités tombant dans le champ d’application de la surveillance complémentaire exercée sur un conglomérat financier.</w:t>
      </w:r>
    </w:p>
    <w:sectPr w:rsidR="00DB329C" w:rsidRPr="009C12DF" w:rsidSect="003843FD">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A8" w:rsidRDefault="009879A8">
      <w:r>
        <w:separator/>
      </w:r>
    </w:p>
  </w:endnote>
  <w:endnote w:type="continuationSeparator" w:id="0">
    <w:p w:rsidR="009879A8" w:rsidRDefault="0098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B8" w:rsidRDefault="009879A8">
    <w:pPr>
      <w:pStyle w:val="Pieddepage"/>
      <w:tabs>
        <w:tab w:val="clear" w:pos="8640"/>
        <w:tab w:val="right" w:pos="8280"/>
      </w:tabs>
      <w:jc w:val="right"/>
    </w:pPr>
    <w:r>
      <w:fldChar w:fldCharType="begin"/>
    </w:r>
    <w:r>
      <w:instrText xml:space="preserve"> PAGE </w:instrText>
    </w:r>
    <w:r>
      <w:fldChar w:fldCharType="separate"/>
    </w:r>
    <w:r w:rsidR="00D06195">
      <w:rPr>
        <w:noProof/>
      </w:rPr>
      <w:t>1</w:t>
    </w:r>
    <w:r>
      <w:rPr>
        <w:noProof/>
      </w:rPr>
      <w:fldChar w:fldCharType="end"/>
    </w:r>
  </w:p>
  <w:p w:rsidR="002A1FB8" w:rsidRDefault="002A1FB8">
    <w:pPr>
      <w:pStyle w:val="Pieddepage"/>
      <w:tabs>
        <w:tab w:val="clear" w:pos="8640"/>
        <w:tab w:val="right" w:pos="828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A8" w:rsidRDefault="009879A8">
      <w:r>
        <w:separator/>
      </w:r>
    </w:p>
  </w:footnote>
  <w:footnote w:type="continuationSeparator" w:id="0">
    <w:p w:rsidR="009879A8" w:rsidRDefault="009879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B8" w:rsidRDefault="002A1FB8">
    <w:pPr>
      <w:pStyle w:val="HeaderFooter"/>
    </w:pPr>
  </w:p>
  <w:p w:rsidR="002A1FB8" w:rsidRDefault="002A1FB8">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0BD"/>
    <w:multiLevelType w:val="multilevel"/>
    <w:tmpl w:val="09C8BEF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1A671990"/>
    <w:multiLevelType w:val="multilevel"/>
    <w:tmpl w:val="C226A3B8"/>
    <w:lvl w:ilvl="0">
      <w:numFmt w:val="bullet"/>
      <w:lvlText w:val="•"/>
      <w:lvlJc w:val="left"/>
      <w:pPr>
        <w:tabs>
          <w:tab w:val="num" w:pos="360"/>
        </w:tabs>
        <w:ind w:left="360" w:hanging="360"/>
      </w:pPr>
      <w:rPr>
        <w:rFonts w:ascii="Arial" w:eastAsia="Arial" w:hAnsi="Arial" w:cs="Arial"/>
        <w:position w:val="0"/>
        <w:sz w:val="24"/>
        <w:szCs w:val="24"/>
        <w:lang w:val="fr-FR"/>
      </w:rPr>
    </w:lvl>
    <w:lvl w:ilvl="1">
      <w:start w:val="1"/>
      <w:numFmt w:val="bullet"/>
      <w:lvlText w:val="o"/>
      <w:lvlJc w:val="left"/>
      <w:pPr>
        <w:tabs>
          <w:tab w:val="num" w:pos="1530"/>
        </w:tabs>
        <w:ind w:left="1530" w:hanging="330"/>
      </w:pPr>
      <w:rPr>
        <w:rFonts w:ascii="Arial" w:eastAsia="Arial" w:hAnsi="Arial" w:cs="Arial"/>
        <w:position w:val="0"/>
        <w:sz w:val="22"/>
        <w:szCs w:val="22"/>
        <w:lang w:val="fr-FR"/>
      </w:rPr>
    </w:lvl>
    <w:lvl w:ilvl="2">
      <w:start w:val="1"/>
      <w:numFmt w:val="bullet"/>
      <w:lvlText w:val="▪"/>
      <w:lvlJc w:val="left"/>
      <w:pPr>
        <w:tabs>
          <w:tab w:val="num" w:pos="2250"/>
        </w:tabs>
        <w:ind w:left="2250" w:hanging="330"/>
      </w:pPr>
      <w:rPr>
        <w:rFonts w:ascii="Arial" w:eastAsia="Arial" w:hAnsi="Arial" w:cs="Arial"/>
        <w:position w:val="0"/>
        <w:sz w:val="22"/>
        <w:szCs w:val="22"/>
        <w:lang w:val="fr-FR"/>
      </w:rPr>
    </w:lvl>
    <w:lvl w:ilvl="3">
      <w:start w:val="1"/>
      <w:numFmt w:val="bullet"/>
      <w:lvlText w:val="▪"/>
      <w:lvlJc w:val="left"/>
      <w:pPr>
        <w:tabs>
          <w:tab w:val="num" w:pos="2970"/>
        </w:tabs>
        <w:ind w:left="2970" w:hanging="330"/>
      </w:pPr>
      <w:rPr>
        <w:rFonts w:ascii="Arial" w:eastAsia="Arial" w:hAnsi="Arial" w:cs="Arial"/>
        <w:position w:val="0"/>
        <w:sz w:val="22"/>
        <w:szCs w:val="22"/>
        <w:lang w:val="fr-FR"/>
      </w:rPr>
    </w:lvl>
    <w:lvl w:ilvl="4">
      <w:start w:val="1"/>
      <w:numFmt w:val="bullet"/>
      <w:lvlText w:val="▪"/>
      <w:lvlJc w:val="left"/>
      <w:pPr>
        <w:tabs>
          <w:tab w:val="num" w:pos="3690"/>
        </w:tabs>
        <w:ind w:left="3690" w:hanging="330"/>
      </w:pPr>
      <w:rPr>
        <w:rFonts w:ascii="Arial" w:eastAsia="Arial" w:hAnsi="Arial" w:cs="Arial"/>
        <w:position w:val="0"/>
        <w:sz w:val="22"/>
        <w:szCs w:val="22"/>
        <w:lang w:val="fr-FR"/>
      </w:rPr>
    </w:lvl>
    <w:lvl w:ilvl="5">
      <w:start w:val="1"/>
      <w:numFmt w:val="bullet"/>
      <w:lvlText w:val="▪"/>
      <w:lvlJc w:val="left"/>
      <w:pPr>
        <w:tabs>
          <w:tab w:val="num" w:pos="4410"/>
        </w:tabs>
        <w:ind w:left="4410" w:hanging="330"/>
      </w:pPr>
      <w:rPr>
        <w:rFonts w:ascii="Arial" w:eastAsia="Arial" w:hAnsi="Arial" w:cs="Arial"/>
        <w:position w:val="0"/>
        <w:sz w:val="22"/>
        <w:szCs w:val="22"/>
        <w:lang w:val="fr-FR"/>
      </w:rPr>
    </w:lvl>
    <w:lvl w:ilvl="6">
      <w:start w:val="1"/>
      <w:numFmt w:val="bullet"/>
      <w:lvlText w:val="▪"/>
      <w:lvlJc w:val="left"/>
      <w:pPr>
        <w:tabs>
          <w:tab w:val="num" w:pos="5130"/>
        </w:tabs>
        <w:ind w:left="5130" w:hanging="330"/>
      </w:pPr>
      <w:rPr>
        <w:rFonts w:ascii="Arial" w:eastAsia="Arial" w:hAnsi="Arial" w:cs="Arial"/>
        <w:position w:val="0"/>
        <w:sz w:val="22"/>
        <w:szCs w:val="22"/>
        <w:lang w:val="fr-FR"/>
      </w:rPr>
    </w:lvl>
    <w:lvl w:ilvl="7">
      <w:start w:val="1"/>
      <w:numFmt w:val="bullet"/>
      <w:lvlText w:val="▪"/>
      <w:lvlJc w:val="left"/>
      <w:pPr>
        <w:tabs>
          <w:tab w:val="num" w:pos="5850"/>
        </w:tabs>
        <w:ind w:left="5850" w:hanging="330"/>
      </w:pPr>
      <w:rPr>
        <w:rFonts w:ascii="Arial" w:eastAsia="Arial" w:hAnsi="Arial" w:cs="Arial"/>
        <w:position w:val="0"/>
        <w:sz w:val="22"/>
        <w:szCs w:val="22"/>
        <w:lang w:val="fr-FR"/>
      </w:rPr>
    </w:lvl>
    <w:lvl w:ilvl="8">
      <w:start w:val="1"/>
      <w:numFmt w:val="bullet"/>
      <w:lvlText w:val="▪"/>
      <w:lvlJc w:val="left"/>
      <w:pPr>
        <w:tabs>
          <w:tab w:val="num" w:pos="6570"/>
        </w:tabs>
        <w:ind w:left="6570" w:hanging="330"/>
      </w:pPr>
      <w:rPr>
        <w:rFonts w:ascii="Arial" w:eastAsia="Arial" w:hAnsi="Arial" w:cs="Arial"/>
        <w:position w:val="0"/>
        <w:sz w:val="22"/>
        <w:szCs w:val="22"/>
        <w:lang w:val="fr-FR"/>
      </w:rPr>
    </w:lvl>
  </w:abstractNum>
  <w:abstractNum w:abstractNumId="2" w15:restartNumberingAfterBreak="0">
    <w:nsid w:val="315F5507"/>
    <w:multiLevelType w:val="multilevel"/>
    <w:tmpl w:val="568818F0"/>
    <w:lvl w:ilvl="0">
      <w:numFmt w:val="bullet"/>
      <w:lvlText w:val="•"/>
      <w:lvlJc w:val="left"/>
      <w:pPr>
        <w:tabs>
          <w:tab w:val="num" w:pos="360"/>
        </w:tabs>
        <w:ind w:left="360" w:hanging="360"/>
      </w:pPr>
      <w:rPr>
        <w:rFonts w:ascii="Arial" w:eastAsia="Arial" w:hAnsi="Arial" w:cs="Arial"/>
        <w:position w:val="0"/>
        <w:sz w:val="24"/>
        <w:szCs w:val="24"/>
        <w:lang w:val="fr-FR"/>
      </w:rPr>
    </w:lvl>
    <w:lvl w:ilvl="1">
      <w:start w:val="1"/>
      <w:numFmt w:val="bullet"/>
      <w:lvlText w:val="o"/>
      <w:lvlJc w:val="left"/>
      <w:pPr>
        <w:tabs>
          <w:tab w:val="num" w:pos="1530"/>
        </w:tabs>
        <w:ind w:left="1530" w:hanging="330"/>
      </w:pPr>
      <w:rPr>
        <w:rFonts w:ascii="Arial" w:eastAsia="Arial" w:hAnsi="Arial" w:cs="Arial"/>
        <w:position w:val="0"/>
        <w:sz w:val="22"/>
        <w:szCs w:val="22"/>
        <w:lang w:val="fr-FR"/>
      </w:rPr>
    </w:lvl>
    <w:lvl w:ilvl="2">
      <w:start w:val="1"/>
      <w:numFmt w:val="bullet"/>
      <w:lvlText w:val="▪"/>
      <w:lvlJc w:val="left"/>
      <w:pPr>
        <w:tabs>
          <w:tab w:val="num" w:pos="2250"/>
        </w:tabs>
        <w:ind w:left="2250" w:hanging="330"/>
      </w:pPr>
      <w:rPr>
        <w:rFonts w:ascii="Arial" w:eastAsia="Arial" w:hAnsi="Arial" w:cs="Arial"/>
        <w:position w:val="0"/>
        <w:sz w:val="22"/>
        <w:szCs w:val="22"/>
        <w:lang w:val="fr-FR"/>
      </w:rPr>
    </w:lvl>
    <w:lvl w:ilvl="3">
      <w:start w:val="1"/>
      <w:numFmt w:val="bullet"/>
      <w:lvlText w:val="▪"/>
      <w:lvlJc w:val="left"/>
      <w:pPr>
        <w:tabs>
          <w:tab w:val="num" w:pos="2970"/>
        </w:tabs>
        <w:ind w:left="2970" w:hanging="330"/>
      </w:pPr>
      <w:rPr>
        <w:rFonts w:ascii="Arial" w:eastAsia="Arial" w:hAnsi="Arial" w:cs="Arial"/>
        <w:position w:val="0"/>
        <w:sz w:val="22"/>
        <w:szCs w:val="22"/>
        <w:lang w:val="fr-FR"/>
      </w:rPr>
    </w:lvl>
    <w:lvl w:ilvl="4">
      <w:start w:val="1"/>
      <w:numFmt w:val="bullet"/>
      <w:lvlText w:val="▪"/>
      <w:lvlJc w:val="left"/>
      <w:pPr>
        <w:tabs>
          <w:tab w:val="num" w:pos="3690"/>
        </w:tabs>
        <w:ind w:left="3690" w:hanging="330"/>
      </w:pPr>
      <w:rPr>
        <w:rFonts w:ascii="Arial" w:eastAsia="Arial" w:hAnsi="Arial" w:cs="Arial"/>
        <w:position w:val="0"/>
        <w:sz w:val="22"/>
        <w:szCs w:val="22"/>
        <w:lang w:val="fr-FR"/>
      </w:rPr>
    </w:lvl>
    <w:lvl w:ilvl="5">
      <w:start w:val="1"/>
      <w:numFmt w:val="bullet"/>
      <w:lvlText w:val="▪"/>
      <w:lvlJc w:val="left"/>
      <w:pPr>
        <w:tabs>
          <w:tab w:val="num" w:pos="4410"/>
        </w:tabs>
        <w:ind w:left="4410" w:hanging="330"/>
      </w:pPr>
      <w:rPr>
        <w:rFonts w:ascii="Arial" w:eastAsia="Arial" w:hAnsi="Arial" w:cs="Arial"/>
        <w:position w:val="0"/>
        <w:sz w:val="22"/>
        <w:szCs w:val="22"/>
        <w:lang w:val="fr-FR"/>
      </w:rPr>
    </w:lvl>
    <w:lvl w:ilvl="6">
      <w:start w:val="1"/>
      <w:numFmt w:val="bullet"/>
      <w:lvlText w:val="▪"/>
      <w:lvlJc w:val="left"/>
      <w:pPr>
        <w:tabs>
          <w:tab w:val="num" w:pos="5130"/>
        </w:tabs>
        <w:ind w:left="5130" w:hanging="330"/>
      </w:pPr>
      <w:rPr>
        <w:rFonts w:ascii="Arial" w:eastAsia="Arial" w:hAnsi="Arial" w:cs="Arial"/>
        <w:position w:val="0"/>
        <w:sz w:val="22"/>
        <w:szCs w:val="22"/>
        <w:lang w:val="fr-FR"/>
      </w:rPr>
    </w:lvl>
    <w:lvl w:ilvl="7">
      <w:start w:val="1"/>
      <w:numFmt w:val="bullet"/>
      <w:lvlText w:val="▪"/>
      <w:lvlJc w:val="left"/>
      <w:pPr>
        <w:tabs>
          <w:tab w:val="num" w:pos="5850"/>
        </w:tabs>
        <w:ind w:left="5850" w:hanging="330"/>
      </w:pPr>
      <w:rPr>
        <w:rFonts w:ascii="Arial" w:eastAsia="Arial" w:hAnsi="Arial" w:cs="Arial"/>
        <w:position w:val="0"/>
        <w:sz w:val="22"/>
        <w:szCs w:val="22"/>
        <w:lang w:val="fr-FR"/>
      </w:rPr>
    </w:lvl>
    <w:lvl w:ilvl="8">
      <w:start w:val="1"/>
      <w:numFmt w:val="bullet"/>
      <w:lvlText w:val="▪"/>
      <w:lvlJc w:val="left"/>
      <w:pPr>
        <w:tabs>
          <w:tab w:val="num" w:pos="6570"/>
        </w:tabs>
        <w:ind w:left="6570" w:hanging="330"/>
      </w:pPr>
      <w:rPr>
        <w:rFonts w:ascii="Arial" w:eastAsia="Arial" w:hAnsi="Arial" w:cs="Arial"/>
        <w:position w:val="0"/>
        <w:sz w:val="22"/>
        <w:szCs w:val="22"/>
        <w:lang w:val="fr-FR"/>
      </w:rPr>
    </w:lvl>
  </w:abstractNum>
  <w:abstractNum w:abstractNumId="3" w15:restartNumberingAfterBreak="0">
    <w:nsid w:val="374633B5"/>
    <w:multiLevelType w:val="multilevel"/>
    <w:tmpl w:val="ECE0D2C0"/>
    <w:lvl w:ilvl="0">
      <w:numFmt w:val="bullet"/>
      <w:lvlText w:val="•"/>
      <w:lvlJc w:val="left"/>
      <w:pPr>
        <w:tabs>
          <w:tab w:val="num" w:pos="360"/>
        </w:tabs>
        <w:ind w:left="360" w:hanging="360"/>
      </w:pPr>
      <w:rPr>
        <w:rFonts w:ascii="Arial" w:eastAsia="Arial" w:hAnsi="Arial" w:cs="Arial"/>
        <w:position w:val="0"/>
        <w:sz w:val="24"/>
        <w:szCs w:val="24"/>
        <w:lang w:val="fr-FR"/>
      </w:rPr>
    </w:lvl>
    <w:lvl w:ilvl="1">
      <w:start w:val="1"/>
      <w:numFmt w:val="bullet"/>
      <w:lvlText w:val="o"/>
      <w:lvlJc w:val="left"/>
      <w:pPr>
        <w:tabs>
          <w:tab w:val="num" w:pos="1530"/>
        </w:tabs>
        <w:ind w:left="1530" w:hanging="330"/>
      </w:pPr>
      <w:rPr>
        <w:rFonts w:ascii="Arial" w:eastAsia="Arial" w:hAnsi="Arial" w:cs="Arial"/>
        <w:position w:val="0"/>
        <w:sz w:val="22"/>
        <w:szCs w:val="22"/>
        <w:lang w:val="fr-FR"/>
      </w:rPr>
    </w:lvl>
    <w:lvl w:ilvl="2">
      <w:start w:val="1"/>
      <w:numFmt w:val="bullet"/>
      <w:lvlText w:val="▪"/>
      <w:lvlJc w:val="left"/>
      <w:pPr>
        <w:tabs>
          <w:tab w:val="num" w:pos="2250"/>
        </w:tabs>
        <w:ind w:left="2250" w:hanging="330"/>
      </w:pPr>
      <w:rPr>
        <w:rFonts w:ascii="Arial" w:eastAsia="Arial" w:hAnsi="Arial" w:cs="Arial"/>
        <w:position w:val="0"/>
        <w:sz w:val="22"/>
        <w:szCs w:val="22"/>
        <w:lang w:val="fr-FR"/>
      </w:rPr>
    </w:lvl>
    <w:lvl w:ilvl="3">
      <w:start w:val="1"/>
      <w:numFmt w:val="bullet"/>
      <w:lvlText w:val="▪"/>
      <w:lvlJc w:val="left"/>
      <w:pPr>
        <w:tabs>
          <w:tab w:val="num" w:pos="2970"/>
        </w:tabs>
        <w:ind w:left="2970" w:hanging="330"/>
      </w:pPr>
      <w:rPr>
        <w:rFonts w:ascii="Arial" w:eastAsia="Arial" w:hAnsi="Arial" w:cs="Arial"/>
        <w:position w:val="0"/>
        <w:sz w:val="22"/>
        <w:szCs w:val="22"/>
        <w:lang w:val="fr-FR"/>
      </w:rPr>
    </w:lvl>
    <w:lvl w:ilvl="4">
      <w:start w:val="1"/>
      <w:numFmt w:val="bullet"/>
      <w:lvlText w:val="▪"/>
      <w:lvlJc w:val="left"/>
      <w:pPr>
        <w:tabs>
          <w:tab w:val="num" w:pos="3690"/>
        </w:tabs>
        <w:ind w:left="3690" w:hanging="330"/>
      </w:pPr>
      <w:rPr>
        <w:rFonts w:ascii="Arial" w:eastAsia="Arial" w:hAnsi="Arial" w:cs="Arial"/>
        <w:position w:val="0"/>
        <w:sz w:val="22"/>
        <w:szCs w:val="22"/>
        <w:lang w:val="fr-FR"/>
      </w:rPr>
    </w:lvl>
    <w:lvl w:ilvl="5">
      <w:start w:val="1"/>
      <w:numFmt w:val="bullet"/>
      <w:lvlText w:val="▪"/>
      <w:lvlJc w:val="left"/>
      <w:pPr>
        <w:tabs>
          <w:tab w:val="num" w:pos="4410"/>
        </w:tabs>
        <w:ind w:left="4410" w:hanging="330"/>
      </w:pPr>
      <w:rPr>
        <w:rFonts w:ascii="Arial" w:eastAsia="Arial" w:hAnsi="Arial" w:cs="Arial"/>
        <w:position w:val="0"/>
        <w:sz w:val="22"/>
        <w:szCs w:val="22"/>
        <w:lang w:val="fr-FR"/>
      </w:rPr>
    </w:lvl>
    <w:lvl w:ilvl="6">
      <w:start w:val="1"/>
      <w:numFmt w:val="bullet"/>
      <w:lvlText w:val="▪"/>
      <w:lvlJc w:val="left"/>
      <w:pPr>
        <w:tabs>
          <w:tab w:val="num" w:pos="5130"/>
        </w:tabs>
        <w:ind w:left="5130" w:hanging="330"/>
      </w:pPr>
      <w:rPr>
        <w:rFonts w:ascii="Arial" w:eastAsia="Arial" w:hAnsi="Arial" w:cs="Arial"/>
        <w:position w:val="0"/>
        <w:sz w:val="22"/>
        <w:szCs w:val="22"/>
        <w:lang w:val="fr-FR"/>
      </w:rPr>
    </w:lvl>
    <w:lvl w:ilvl="7">
      <w:start w:val="1"/>
      <w:numFmt w:val="bullet"/>
      <w:lvlText w:val="▪"/>
      <w:lvlJc w:val="left"/>
      <w:pPr>
        <w:tabs>
          <w:tab w:val="num" w:pos="5850"/>
        </w:tabs>
        <w:ind w:left="5850" w:hanging="330"/>
      </w:pPr>
      <w:rPr>
        <w:rFonts w:ascii="Arial" w:eastAsia="Arial" w:hAnsi="Arial" w:cs="Arial"/>
        <w:position w:val="0"/>
        <w:sz w:val="22"/>
        <w:szCs w:val="22"/>
        <w:lang w:val="fr-FR"/>
      </w:rPr>
    </w:lvl>
    <w:lvl w:ilvl="8">
      <w:start w:val="1"/>
      <w:numFmt w:val="bullet"/>
      <w:lvlText w:val="▪"/>
      <w:lvlJc w:val="left"/>
      <w:pPr>
        <w:tabs>
          <w:tab w:val="num" w:pos="6570"/>
        </w:tabs>
        <w:ind w:left="6570" w:hanging="330"/>
      </w:pPr>
      <w:rPr>
        <w:rFonts w:ascii="Arial" w:eastAsia="Arial" w:hAnsi="Arial" w:cs="Arial"/>
        <w:position w:val="0"/>
        <w:sz w:val="22"/>
        <w:szCs w:val="22"/>
        <w:lang w:val="fr-FR"/>
      </w:rPr>
    </w:lvl>
  </w:abstractNum>
  <w:abstractNum w:abstractNumId="4" w15:restartNumberingAfterBreak="0">
    <w:nsid w:val="3C4B3AD1"/>
    <w:multiLevelType w:val="multilevel"/>
    <w:tmpl w:val="40485408"/>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5E8D0C6D"/>
    <w:multiLevelType w:val="multilevel"/>
    <w:tmpl w:val="E1227756"/>
    <w:lvl w:ilvl="0">
      <w:start w:val="1"/>
      <w:numFmt w:val="bullet"/>
      <w:lvlText w:val="•"/>
      <w:lvlJc w:val="left"/>
      <w:pPr>
        <w:tabs>
          <w:tab w:val="num" w:pos="360"/>
        </w:tabs>
        <w:ind w:left="360" w:hanging="360"/>
      </w:pPr>
      <w:rPr>
        <w:rFonts w:ascii="Arial" w:eastAsia="Arial" w:hAnsi="Arial" w:cs="Arial"/>
        <w:position w:val="0"/>
        <w:sz w:val="22"/>
        <w:szCs w:val="22"/>
        <w:lang w:val="fr-FR"/>
      </w:rPr>
    </w:lvl>
    <w:lvl w:ilvl="1">
      <w:start w:val="1"/>
      <w:numFmt w:val="bullet"/>
      <w:lvlText w:val="o"/>
      <w:lvlJc w:val="left"/>
      <w:pPr>
        <w:tabs>
          <w:tab w:val="num" w:pos="1530"/>
        </w:tabs>
        <w:ind w:left="1530" w:hanging="330"/>
      </w:pPr>
      <w:rPr>
        <w:rFonts w:ascii="Arial" w:eastAsia="Arial" w:hAnsi="Arial" w:cs="Arial"/>
        <w:position w:val="0"/>
        <w:sz w:val="22"/>
        <w:szCs w:val="22"/>
        <w:lang w:val="fr-FR"/>
      </w:rPr>
    </w:lvl>
    <w:lvl w:ilvl="2">
      <w:start w:val="1"/>
      <w:numFmt w:val="bullet"/>
      <w:lvlText w:val="▪"/>
      <w:lvlJc w:val="left"/>
      <w:pPr>
        <w:tabs>
          <w:tab w:val="num" w:pos="2250"/>
        </w:tabs>
        <w:ind w:left="2250" w:hanging="330"/>
      </w:pPr>
      <w:rPr>
        <w:rFonts w:ascii="Arial" w:eastAsia="Arial" w:hAnsi="Arial" w:cs="Arial"/>
        <w:position w:val="0"/>
        <w:sz w:val="22"/>
        <w:szCs w:val="22"/>
        <w:lang w:val="fr-FR"/>
      </w:rPr>
    </w:lvl>
    <w:lvl w:ilvl="3">
      <w:start w:val="1"/>
      <w:numFmt w:val="bullet"/>
      <w:lvlText w:val="▪"/>
      <w:lvlJc w:val="left"/>
      <w:pPr>
        <w:tabs>
          <w:tab w:val="num" w:pos="2970"/>
        </w:tabs>
        <w:ind w:left="2970" w:hanging="330"/>
      </w:pPr>
      <w:rPr>
        <w:rFonts w:ascii="Arial" w:eastAsia="Arial" w:hAnsi="Arial" w:cs="Arial"/>
        <w:position w:val="0"/>
        <w:sz w:val="22"/>
        <w:szCs w:val="22"/>
        <w:lang w:val="fr-FR"/>
      </w:rPr>
    </w:lvl>
    <w:lvl w:ilvl="4">
      <w:start w:val="1"/>
      <w:numFmt w:val="bullet"/>
      <w:lvlText w:val="▪"/>
      <w:lvlJc w:val="left"/>
      <w:pPr>
        <w:tabs>
          <w:tab w:val="num" w:pos="3690"/>
        </w:tabs>
        <w:ind w:left="3690" w:hanging="330"/>
      </w:pPr>
      <w:rPr>
        <w:rFonts w:ascii="Arial" w:eastAsia="Arial" w:hAnsi="Arial" w:cs="Arial"/>
        <w:position w:val="0"/>
        <w:sz w:val="22"/>
        <w:szCs w:val="22"/>
        <w:lang w:val="fr-FR"/>
      </w:rPr>
    </w:lvl>
    <w:lvl w:ilvl="5">
      <w:start w:val="1"/>
      <w:numFmt w:val="bullet"/>
      <w:lvlText w:val="▪"/>
      <w:lvlJc w:val="left"/>
      <w:pPr>
        <w:tabs>
          <w:tab w:val="num" w:pos="4410"/>
        </w:tabs>
        <w:ind w:left="4410" w:hanging="330"/>
      </w:pPr>
      <w:rPr>
        <w:rFonts w:ascii="Arial" w:eastAsia="Arial" w:hAnsi="Arial" w:cs="Arial"/>
        <w:position w:val="0"/>
        <w:sz w:val="22"/>
        <w:szCs w:val="22"/>
        <w:lang w:val="fr-FR"/>
      </w:rPr>
    </w:lvl>
    <w:lvl w:ilvl="6">
      <w:start w:val="1"/>
      <w:numFmt w:val="bullet"/>
      <w:lvlText w:val="▪"/>
      <w:lvlJc w:val="left"/>
      <w:pPr>
        <w:tabs>
          <w:tab w:val="num" w:pos="5130"/>
        </w:tabs>
        <w:ind w:left="5130" w:hanging="330"/>
      </w:pPr>
      <w:rPr>
        <w:rFonts w:ascii="Arial" w:eastAsia="Arial" w:hAnsi="Arial" w:cs="Arial"/>
        <w:position w:val="0"/>
        <w:sz w:val="22"/>
        <w:szCs w:val="22"/>
        <w:lang w:val="fr-FR"/>
      </w:rPr>
    </w:lvl>
    <w:lvl w:ilvl="7">
      <w:start w:val="1"/>
      <w:numFmt w:val="bullet"/>
      <w:lvlText w:val="▪"/>
      <w:lvlJc w:val="left"/>
      <w:pPr>
        <w:tabs>
          <w:tab w:val="num" w:pos="5850"/>
        </w:tabs>
        <w:ind w:left="5850" w:hanging="330"/>
      </w:pPr>
      <w:rPr>
        <w:rFonts w:ascii="Arial" w:eastAsia="Arial" w:hAnsi="Arial" w:cs="Arial"/>
        <w:position w:val="0"/>
        <w:sz w:val="22"/>
        <w:szCs w:val="22"/>
        <w:lang w:val="fr-FR"/>
      </w:rPr>
    </w:lvl>
    <w:lvl w:ilvl="8">
      <w:start w:val="1"/>
      <w:numFmt w:val="bullet"/>
      <w:lvlText w:val="▪"/>
      <w:lvlJc w:val="left"/>
      <w:pPr>
        <w:tabs>
          <w:tab w:val="num" w:pos="6570"/>
        </w:tabs>
        <w:ind w:left="6570" w:hanging="330"/>
      </w:pPr>
      <w:rPr>
        <w:rFonts w:ascii="Arial" w:eastAsia="Arial" w:hAnsi="Arial" w:cs="Arial"/>
        <w:position w:val="0"/>
        <w:sz w:val="22"/>
        <w:szCs w:val="22"/>
        <w:lang w:val="fr-FR"/>
      </w:rPr>
    </w:lvl>
  </w:abstractNum>
  <w:abstractNum w:abstractNumId="6" w15:restartNumberingAfterBreak="0">
    <w:nsid w:val="5F0476FE"/>
    <w:multiLevelType w:val="multilevel"/>
    <w:tmpl w:val="95AECF1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60376A65"/>
    <w:multiLevelType w:val="multilevel"/>
    <w:tmpl w:val="057CB4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61F82C6D"/>
    <w:multiLevelType w:val="multilevel"/>
    <w:tmpl w:val="F5D6DC52"/>
    <w:styleLink w:val="List0"/>
    <w:lvl w:ilvl="0">
      <w:numFmt w:val="bullet"/>
      <w:lvlText w:val="•"/>
      <w:lvlJc w:val="left"/>
      <w:pPr>
        <w:tabs>
          <w:tab w:val="num" w:pos="360"/>
        </w:tabs>
        <w:ind w:left="360" w:hanging="360"/>
      </w:pPr>
      <w:rPr>
        <w:rFonts w:ascii="Arial" w:eastAsia="Arial" w:hAnsi="Arial" w:cs="Arial"/>
        <w:position w:val="0"/>
        <w:sz w:val="24"/>
        <w:szCs w:val="24"/>
        <w:lang w:val="fr-FR"/>
      </w:rPr>
    </w:lvl>
    <w:lvl w:ilvl="1">
      <w:start w:val="1"/>
      <w:numFmt w:val="bullet"/>
      <w:lvlText w:val="o"/>
      <w:lvlJc w:val="left"/>
      <w:pPr>
        <w:tabs>
          <w:tab w:val="num" w:pos="1530"/>
        </w:tabs>
        <w:ind w:left="1530" w:hanging="330"/>
      </w:pPr>
      <w:rPr>
        <w:rFonts w:ascii="Arial" w:eastAsia="Arial" w:hAnsi="Arial" w:cs="Arial"/>
        <w:position w:val="0"/>
        <w:sz w:val="22"/>
        <w:szCs w:val="22"/>
        <w:lang w:val="fr-FR"/>
      </w:rPr>
    </w:lvl>
    <w:lvl w:ilvl="2">
      <w:start w:val="1"/>
      <w:numFmt w:val="bullet"/>
      <w:lvlText w:val="▪"/>
      <w:lvlJc w:val="left"/>
      <w:pPr>
        <w:tabs>
          <w:tab w:val="num" w:pos="2250"/>
        </w:tabs>
        <w:ind w:left="2250" w:hanging="330"/>
      </w:pPr>
      <w:rPr>
        <w:rFonts w:ascii="Arial" w:eastAsia="Arial" w:hAnsi="Arial" w:cs="Arial"/>
        <w:position w:val="0"/>
        <w:sz w:val="22"/>
        <w:szCs w:val="22"/>
        <w:lang w:val="fr-FR"/>
      </w:rPr>
    </w:lvl>
    <w:lvl w:ilvl="3">
      <w:start w:val="1"/>
      <w:numFmt w:val="bullet"/>
      <w:lvlText w:val="▪"/>
      <w:lvlJc w:val="left"/>
      <w:pPr>
        <w:tabs>
          <w:tab w:val="num" w:pos="2970"/>
        </w:tabs>
        <w:ind w:left="2970" w:hanging="330"/>
      </w:pPr>
      <w:rPr>
        <w:rFonts w:ascii="Arial" w:eastAsia="Arial" w:hAnsi="Arial" w:cs="Arial"/>
        <w:position w:val="0"/>
        <w:sz w:val="22"/>
        <w:szCs w:val="22"/>
        <w:lang w:val="fr-FR"/>
      </w:rPr>
    </w:lvl>
    <w:lvl w:ilvl="4">
      <w:start w:val="1"/>
      <w:numFmt w:val="bullet"/>
      <w:lvlText w:val="▪"/>
      <w:lvlJc w:val="left"/>
      <w:pPr>
        <w:tabs>
          <w:tab w:val="num" w:pos="3690"/>
        </w:tabs>
        <w:ind w:left="3690" w:hanging="330"/>
      </w:pPr>
      <w:rPr>
        <w:rFonts w:ascii="Arial" w:eastAsia="Arial" w:hAnsi="Arial" w:cs="Arial"/>
        <w:position w:val="0"/>
        <w:sz w:val="22"/>
        <w:szCs w:val="22"/>
        <w:lang w:val="fr-FR"/>
      </w:rPr>
    </w:lvl>
    <w:lvl w:ilvl="5">
      <w:start w:val="1"/>
      <w:numFmt w:val="bullet"/>
      <w:lvlText w:val="▪"/>
      <w:lvlJc w:val="left"/>
      <w:pPr>
        <w:tabs>
          <w:tab w:val="num" w:pos="4410"/>
        </w:tabs>
        <w:ind w:left="4410" w:hanging="330"/>
      </w:pPr>
      <w:rPr>
        <w:rFonts w:ascii="Arial" w:eastAsia="Arial" w:hAnsi="Arial" w:cs="Arial"/>
        <w:position w:val="0"/>
        <w:sz w:val="22"/>
        <w:szCs w:val="22"/>
        <w:lang w:val="fr-FR"/>
      </w:rPr>
    </w:lvl>
    <w:lvl w:ilvl="6">
      <w:start w:val="1"/>
      <w:numFmt w:val="bullet"/>
      <w:lvlText w:val="▪"/>
      <w:lvlJc w:val="left"/>
      <w:pPr>
        <w:tabs>
          <w:tab w:val="num" w:pos="5130"/>
        </w:tabs>
        <w:ind w:left="5130" w:hanging="330"/>
      </w:pPr>
      <w:rPr>
        <w:rFonts w:ascii="Arial" w:eastAsia="Arial" w:hAnsi="Arial" w:cs="Arial"/>
        <w:position w:val="0"/>
        <w:sz w:val="22"/>
        <w:szCs w:val="22"/>
        <w:lang w:val="fr-FR"/>
      </w:rPr>
    </w:lvl>
    <w:lvl w:ilvl="7">
      <w:start w:val="1"/>
      <w:numFmt w:val="bullet"/>
      <w:lvlText w:val="▪"/>
      <w:lvlJc w:val="left"/>
      <w:pPr>
        <w:tabs>
          <w:tab w:val="num" w:pos="5850"/>
        </w:tabs>
        <w:ind w:left="5850" w:hanging="330"/>
      </w:pPr>
      <w:rPr>
        <w:rFonts w:ascii="Arial" w:eastAsia="Arial" w:hAnsi="Arial" w:cs="Arial"/>
        <w:position w:val="0"/>
        <w:sz w:val="22"/>
        <w:szCs w:val="22"/>
        <w:lang w:val="fr-FR"/>
      </w:rPr>
    </w:lvl>
    <w:lvl w:ilvl="8">
      <w:start w:val="1"/>
      <w:numFmt w:val="bullet"/>
      <w:lvlText w:val="▪"/>
      <w:lvlJc w:val="left"/>
      <w:pPr>
        <w:tabs>
          <w:tab w:val="num" w:pos="6570"/>
        </w:tabs>
        <w:ind w:left="6570" w:hanging="330"/>
      </w:pPr>
      <w:rPr>
        <w:rFonts w:ascii="Arial" w:eastAsia="Arial" w:hAnsi="Arial" w:cs="Arial"/>
        <w:position w:val="0"/>
        <w:sz w:val="22"/>
        <w:szCs w:val="22"/>
        <w:lang w:val="fr-FR"/>
      </w:rPr>
    </w:lvl>
  </w:abstractNum>
  <w:abstractNum w:abstractNumId="9" w15:restartNumberingAfterBreak="0">
    <w:nsid w:val="6EE17B24"/>
    <w:multiLevelType w:val="multilevel"/>
    <w:tmpl w:val="A85C705A"/>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5"/>
  </w:num>
  <w:num w:numId="2">
    <w:abstractNumId w:val="7"/>
  </w:num>
  <w:num w:numId="3">
    <w:abstractNumId w:val="2"/>
  </w:num>
  <w:num w:numId="4">
    <w:abstractNumId w:val="1"/>
  </w:num>
  <w:num w:numId="5">
    <w:abstractNumId w:val="3"/>
  </w:num>
  <w:num w:numId="6">
    <w:abstractNumId w:val="8"/>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BD5"/>
    <w:rsid w:val="00030C5F"/>
    <w:rsid w:val="00063BE7"/>
    <w:rsid w:val="000B1620"/>
    <w:rsid w:val="000C1496"/>
    <w:rsid w:val="000E4B88"/>
    <w:rsid w:val="00103676"/>
    <w:rsid w:val="00123AD3"/>
    <w:rsid w:val="00134D29"/>
    <w:rsid w:val="00135741"/>
    <w:rsid w:val="00144A4E"/>
    <w:rsid w:val="0017168C"/>
    <w:rsid w:val="00184987"/>
    <w:rsid w:val="00192D95"/>
    <w:rsid w:val="001A1984"/>
    <w:rsid w:val="001B3E3B"/>
    <w:rsid w:val="001B5B3B"/>
    <w:rsid w:val="001D0AA8"/>
    <w:rsid w:val="001D22A4"/>
    <w:rsid w:val="001D39FE"/>
    <w:rsid w:val="001F54A4"/>
    <w:rsid w:val="001F660E"/>
    <w:rsid w:val="001F703F"/>
    <w:rsid w:val="00227C8F"/>
    <w:rsid w:val="0025154F"/>
    <w:rsid w:val="00255420"/>
    <w:rsid w:val="00256316"/>
    <w:rsid w:val="002641CA"/>
    <w:rsid w:val="002A1FB8"/>
    <w:rsid w:val="002D0348"/>
    <w:rsid w:val="002D4094"/>
    <w:rsid w:val="002D6BB8"/>
    <w:rsid w:val="002F2761"/>
    <w:rsid w:val="00323CE9"/>
    <w:rsid w:val="0032729B"/>
    <w:rsid w:val="00355E3B"/>
    <w:rsid w:val="003715A0"/>
    <w:rsid w:val="003843FD"/>
    <w:rsid w:val="003A0DE6"/>
    <w:rsid w:val="003B0166"/>
    <w:rsid w:val="003B13A6"/>
    <w:rsid w:val="003D507D"/>
    <w:rsid w:val="003D66DD"/>
    <w:rsid w:val="003E2BD5"/>
    <w:rsid w:val="003F20B7"/>
    <w:rsid w:val="00403C30"/>
    <w:rsid w:val="00421DF7"/>
    <w:rsid w:val="004357D2"/>
    <w:rsid w:val="0044057F"/>
    <w:rsid w:val="00443EF7"/>
    <w:rsid w:val="004567BD"/>
    <w:rsid w:val="00512599"/>
    <w:rsid w:val="00524173"/>
    <w:rsid w:val="00565E7B"/>
    <w:rsid w:val="00575776"/>
    <w:rsid w:val="005833D3"/>
    <w:rsid w:val="00632895"/>
    <w:rsid w:val="006631CE"/>
    <w:rsid w:val="006B6E5A"/>
    <w:rsid w:val="006E0261"/>
    <w:rsid w:val="006F6CEC"/>
    <w:rsid w:val="0076018D"/>
    <w:rsid w:val="007855EB"/>
    <w:rsid w:val="00793B3F"/>
    <w:rsid w:val="00801F22"/>
    <w:rsid w:val="00841E55"/>
    <w:rsid w:val="00847C5C"/>
    <w:rsid w:val="008636A6"/>
    <w:rsid w:val="008A1330"/>
    <w:rsid w:val="008B783C"/>
    <w:rsid w:val="008C04B3"/>
    <w:rsid w:val="008C670F"/>
    <w:rsid w:val="00926BB8"/>
    <w:rsid w:val="0095361A"/>
    <w:rsid w:val="00981E1C"/>
    <w:rsid w:val="009879A8"/>
    <w:rsid w:val="009C12DF"/>
    <w:rsid w:val="009D2AE3"/>
    <w:rsid w:val="009E4266"/>
    <w:rsid w:val="00A00E63"/>
    <w:rsid w:val="00A2359D"/>
    <w:rsid w:val="00A40DD5"/>
    <w:rsid w:val="00A46A8A"/>
    <w:rsid w:val="00A676EC"/>
    <w:rsid w:val="00AB20CD"/>
    <w:rsid w:val="00AB21EE"/>
    <w:rsid w:val="00B253FB"/>
    <w:rsid w:val="00B30571"/>
    <w:rsid w:val="00B53FBB"/>
    <w:rsid w:val="00B56342"/>
    <w:rsid w:val="00B94EB7"/>
    <w:rsid w:val="00BB2D3D"/>
    <w:rsid w:val="00BC36C4"/>
    <w:rsid w:val="00BD1BC3"/>
    <w:rsid w:val="00BD2D44"/>
    <w:rsid w:val="00C058C1"/>
    <w:rsid w:val="00C27E23"/>
    <w:rsid w:val="00C51D5A"/>
    <w:rsid w:val="00C61E68"/>
    <w:rsid w:val="00C72EC7"/>
    <w:rsid w:val="00CB47B7"/>
    <w:rsid w:val="00CC1754"/>
    <w:rsid w:val="00CC5280"/>
    <w:rsid w:val="00CE12D3"/>
    <w:rsid w:val="00CF0A73"/>
    <w:rsid w:val="00D06195"/>
    <w:rsid w:val="00D50402"/>
    <w:rsid w:val="00D55930"/>
    <w:rsid w:val="00D72722"/>
    <w:rsid w:val="00D93CE6"/>
    <w:rsid w:val="00DB329C"/>
    <w:rsid w:val="00DB6E5A"/>
    <w:rsid w:val="00DD4B55"/>
    <w:rsid w:val="00DE3C5B"/>
    <w:rsid w:val="00E53EA9"/>
    <w:rsid w:val="00E661CC"/>
    <w:rsid w:val="00E70CAC"/>
    <w:rsid w:val="00EC536C"/>
    <w:rsid w:val="00F21D6D"/>
    <w:rsid w:val="00F50EEB"/>
    <w:rsid w:val="00F53D4D"/>
    <w:rsid w:val="00F72C95"/>
    <w:rsid w:val="00F90DBF"/>
    <w:rsid w:val="00FA1996"/>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3C29F48-D4A7-4DBA-B064-9D3E6A1A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0DE6"/>
    <w:pPr>
      <w:pBdr>
        <w:top w:val="nil"/>
        <w:left w:val="nil"/>
        <w:bottom w:val="nil"/>
        <w:right w:val="nil"/>
        <w:between w:val="nil"/>
        <w:bar w:val="nil"/>
      </w:pBdr>
    </w:pPr>
    <w:rPr>
      <w:sz w:val="24"/>
      <w:szCs w:val="24"/>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DE6"/>
    <w:rPr>
      <w:u w:val="single"/>
    </w:rPr>
  </w:style>
  <w:style w:type="paragraph" w:customStyle="1" w:styleId="HeaderFooter">
    <w:name w:val="Header &amp; Footer"/>
    <w:rsid w:val="003A0DE6"/>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US" w:eastAsia="en-US"/>
    </w:rPr>
  </w:style>
  <w:style w:type="paragraph" w:styleId="Pieddepage">
    <w:name w:val="footer"/>
    <w:rsid w:val="003A0DE6"/>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lang w:val="de-DE" w:eastAsia="en-US"/>
    </w:rPr>
  </w:style>
  <w:style w:type="paragraph" w:customStyle="1" w:styleId="Body">
    <w:name w:val="Body"/>
    <w:rsid w:val="003A0DE6"/>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3A0DE6"/>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3A0DE6"/>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paragraph" w:styleId="Sansinterligne">
    <w:name w:val="No Spacing"/>
    <w:rsid w:val="003A0DE6"/>
    <w:pPr>
      <w:pBdr>
        <w:top w:val="nil"/>
        <w:left w:val="nil"/>
        <w:bottom w:val="nil"/>
        <w:right w:val="nil"/>
        <w:between w:val="nil"/>
        <w:bar w:val="nil"/>
      </w:pBdr>
    </w:pPr>
    <w:rPr>
      <w:rFonts w:ascii="Cambria" w:eastAsia="Cambria" w:hAnsi="Cambria" w:cs="Cambria"/>
      <w:color w:val="000000"/>
      <w:sz w:val="24"/>
      <w:szCs w:val="24"/>
      <w:u w:color="000000"/>
      <w:bdr w:val="nil"/>
      <w:lang w:val="de-DE" w:eastAsia="en-US"/>
    </w:rPr>
  </w:style>
  <w:style w:type="paragraph" w:customStyle="1" w:styleId="a3520normal">
    <w:name w:val="a___35__20_normal"/>
    <w:rsid w:val="003A0DE6"/>
    <w:pPr>
      <w:pBdr>
        <w:top w:val="nil"/>
        <w:left w:val="nil"/>
        <w:bottom w:val="nil"/>
        <w:right w:val="nil"/>
        <w:between w:val="nil"/>
        <w:bar w:val="nil"/>
      </w:pBdr>
      <w:spacing w:before="100" w:after="100"/>
    </w:pPr>
    <w:rPr>
      <w:rFonts w:ascii="Times" w:eastAsia="Times" w:hAnsi="Times" w:cs="Times"/>
      <w:color w:val="000000"/>
      <w:u w:color="000000"/>
      <w:bdr w:val="nil"/>
      <w:lang w:val="en-US" w:eastAsia="en-US"/>
    </w:rPr>
  </w:style>
  <w:style w:type="paragraph" w:customStyle="1" w:styleId="a3520normalp4">
    <w:name w:val="a__35__20_normal_p4"/>
    <w:rsid w:val="003A0DE6"/>
    <w:pPr>
      <w:pBdr>
        <w:top w:val="nil"/>
        <w:left w:val="nil"/>
        <w:bottom w:val="nil"/>
        <w:right w:val="nil"/>
        <w:between w:val="nil"/>
        <w:bar w:val="nil"/>
      </w:pBdr>
      <w:spacing w:before="100" w:after="100"/>
    </w:pPr>
    <w:rPr>
      <w:rFonts w:ascii="Times" w:eastAsia="Times" w:hAnsi="Times" w:cs="Times"/>
      <w:color w:val="000000"/>
      <w:u w:color="000000"/>
      <w:bdr w:val="nil"/>
      <w:lang w:val="en-US" w:eastAsia="en-US"/>
    </w:rPr>
  </w:style>
  <w:style w:type="numbering" w:customStyle="1" w:styleId="List0">
    <w:name w:val="List 0"/>
    <w:basedOn w:val="ImportedStyle1"/>
    <w:rsid w:val="003A0DE6"/>
    <w:pPr>
      <w:numPr>
        <w:numId w:val="6"/>
      </w:numPr>
    </w:pPr>
  </w:style>
  <w:style w:type="numbering" w:customStyle="1" w:styleId="ImportedStyle1">
    <w:name w:val="Imported Style 1"/>
    <w:rsid w:val="003A0DE6"/>
  </w:style>
  <w:style w:type="paragraph" w:styleId="Paragraphedeliste">
    <w:name w:val="List Paragraph"/>
    <w:rsid w:val="003A0DE6"/>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en-US"/>
    </w:rPr>
  </w:style>
  <w:style w:type="numbering" w:customStyle="1" w:styleId="List1">
    <w:name w:val="List 1"/>
    <w:basedOn w:val="ImportedStyle2"/>
    <w:rsid w:val="003A0DE6"/>
    <w:pPr>
      <w:numPr>
        <w:numId w:val="10"/>
      </w:numPr>
    </w:pPr>
  </w:style>
  <w:style w:type="numbering" w:customStyle="1" w:styleId="ImportedStyle2">
    <w:name w:val="Imported Style 2"/>
    <w:rsid w:val="003A0DE6"/>
  </w:style>
  <w:style w:type="paragraph" w:customStyle="1" w:styleId="CM1">
    <w:name w:val="CM1"/>
    <w:next w:val="Default"/>
    <w:rsid w:val="003A0DE6"/>
    <w:pPr>
      <w:widowControl w:val="0"/>
      <w:pBdr>
        <w:top w:val="nil"/>
        <w:left w:val="nil"/>
        <w:bottom w:val="nil"/>
        <w:right w:val="nil"/>
        <w:between w:val="nil"/>
        <w:bar w:val="nil"/>
      </w:pBdr>
    </w:pPr>
    <w:rPr>
      <w:rFonts w:ascii="EUAlbertina" w:eastAsia="EUAlbertina" w:hAnsi="EUAlbertina" w:cs="EUAlbertina"/>
      <w:color w:val="000000"/>
      <w:sz w:val="24"/>
      <w:szCs w:val="24"/>
      <w:u w:color="000000"/>
      <w:bdr w:val="nil"/>
      <w:lang w:val="en-US" w:eastAsia="en-US"/>
    </w:rPr>
  </w:style>
  <w:style w:type="paragraph" w:styleId="En-tte">
    <w:name w:val="header"/>
    <w:basedOn w:val="Normal"/>
    <w:link w:val="En-tteCar"/>
    <w:uiPriority w:val="99"/>
    <w:semiHidden/>
    <w:unhideWhenUsed/>
    <w:rsid w:val="00D55930"/>
    <w:pPr>
      <w:tabs>
        <w:tab w:val="center" w:pos="4536"/>
        <w:tab w:val="right" w:pos="9072"/>
      </w:tabs>
    </w:pPr>
  </w:style>
  <w:style w:type="character" w:customStyle="1" w:styleId="En-tteCar">
    <w:name w:val="En-tête Car"/>
    <w:link w:val="En-tte"/>
    <w:uiPriority w:val="99"/>
    <w:semiHidden/>
    <w:rsid w:val="00D559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B175-8366-4A77-BEE0-EB1EE778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5500</Characters>
  <Application>Microsoft Office Word</Application>
  <DocSecurity>4</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Thurmes</dc:creator>
  <cp:keywords/>
  <cp:lastModifiedBy>SYSTEM</cp:lastModifiedBy>
  <cp:revision>2</cp:revision>
  <dcterms:created xsi:type="dcterms:W3CDTF">2024-02-21T07:50:00Z</dcterms:created>
  <dcterms:modified xsi:type="dcterms:W3CDTF">2024-02-21T07:50:00Z</dcterms:modified>
</cp:coreProperties>
</file>