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11B" w:rsidRPr="000B0365" w:rsidRDefault="0031011B" w:rsidP="000B0365">
      <w:pPr>
        <w:tabs>
          <w:tab w:val="left" w:pos="3544"/>
        </w:tabs>
        <w:spacing w:after="0" w:line="240" w:lineRule="auto"/>
        <w:rPr>
          <w:rFonts w:ascii="Arial" w:hAnsi="Arial" w:cs="Arial"/>
          <w:b/>
          <w:noProof/>
          <w:lang w:val="fr-FR"/>
        </w:rPr>
      </w:pPr>
      <w:bookmarkStart w:id="0" w:name="_GoBack"/>
      <w:bookmarkEnd w:id="0"/>
      <w:r w:rsidRPr="000B0365">
        <w:rPr>
          <w:rFonts w:ascii="Arial" w:hAnsi="Arial" w:cs="Arial"/>
          <w:b/>
          <w:bCs/>
        </w:rPr>
        <w:t xml:space="preserve">Projet de loi </w:t>
      </w:r>
      <w:r w:rsidR="006B790C">
        <w:rPr>
          <w:rFonts w:ascii="Arial" w:hAnsi="Arial" w:cs="Arial"/>
          <w:b/>
          <w:bCs/>
        </w:rPr>
        <w:t>6</w:t>
      </w:r>
      <w:r w:rsidR="000B0365" w:rsidRPr="000B0365">
        <w:rPr>
          <w:rFonts w:ascii="Arial" w:hAnsi="Arial" w:cs="Arial"/>
          <w:b/>
          <w:noProof/>
          <w:lang w:val="fr-FR"/>
        </w:rPr>
        <w:t>660</w:t>
      </w:r>
      <w:r w:rsidR="000B0365">
        <w:rPr>
          <w:rFonts w:ascii="Arial" w:hAnsi="Arial" w:cs="Arial"/>
          <w:b/>
          <w:noProof/>
          <w:lang w:val="fr-FR"/>
        </w:rPr>
        <w:t xml:space="preserve"> </w:t>
      </w:r>
      <w:r w:rsidRPr="000B0365">
        <w:rPr>
          <w:rFonts w:ascii="Arial" w:hAnsi="Arial" w:cs="Arial"/>
          <w:b/>
          <w:bCs/>
        </w:rPr>
        <w:t>portant:</w:t>
      </w:r>
    </w:p>
    <w:p w:rsidR="0031011B" w:rsidRPr="000B0365" w:rsidRDefault="0031011B" w:rsidP="0031011B">
      <w:pPr>
        <w:pStyle w:val="Pa5"/>
        <w:spacing w:line="240" w:lineRule="auto"/>
        <w:jc w:val="both"/>
        <w:rPr>
          <w:rFonts w:ascii="Arial" w:hAnsi="Arial" w:cs="Arial"/>
          <w:color w:val="000000"/>
          <w:sz w:val="22"/>
          <w:szCs w:val="22"/>
        </w:rPr>
      </w:pPr>
      <w:r w:rsidRPr="000B0365">
        <w:rPr>
          <w:rFonts w:ascii="Arial" w:hAnsi="Arial" w:cs="Arial"/>
          <w:b/>
          <w:bCs/>
          <w:color w:val="000000"/>
          <w:sz w:val="22"/>
          <w:szCs w:val="22"/>
        </w:rPr>
        <w:t>– transposition de la directive 2013/36/UE du Parlement européen et du Conseil du 26 juin 2013;</w:t>
      </w:r>
    </w:p>
    <w:p w:rsidR="0031011B" w:rsidRPr="000B0365" w:rsidRDefault="0031011B" w:rsidP="0031011B">
      <w:pPr>
        <w:pStyle w:val="Pa5"/>
        <w:spacing w:line="240" w:lineRule="auto"/>
        <w:jc w:val="both"/>
        <w:rPr>
          <w:rFonts w:ascii="Arial" w:hAnsi="Arial" w:cs="Arial"/>
          <w:color w:val="000000"/>
          <w:sz w:val="22"/>
          <w:szCs w:val="22"/>
        </w:rPr>
      </w:pPr>
      <w:r w:rsidRPr="000B0365">
        <w:rPr>
          <w:rFonts w:ascii="Arial" w:hAnsi="Arial" w:cs="Arial"/>
          <w:b/>
          <w:bCs/>
          <w:color w:val="000000"/>
          <w:sz w:val="22"/>
          <w:szCs w:val="22"/>
        </w:rPr>
        <w:t>– transposition des articles 2 et 3 de la directive 2011/89/UE du Parlement européen et du Conseil du 16 novembre 2011;</w:t>
      </w:r>
    </w:p>
    <w:p w:rsidR="0031011B" w:rsidRPr="000B0365" w:rsidRDefault="0031011B" w:rsidP="0031011B">
      <w:pPr>
        <w:pStyle w:val="Pa5"/>
        <w:spacing w:line="240" w:lineRule="auto"/>
        <w:jc w:val="both"/>
        <w:rPr>
          <w:rFonts w:ascii="Arial" w:hAnsi="Arial" w:cs="Arial"/>
          <w:color w:val="000000"/>
          <w:sz w:val="22"/>
          <w:szCs w:val="22"/>
        </w:rPr>
      </w:pPr>
      <w:r w:rsidRPr="000B0365">
        <w:rPr>
          <w:rFonts w:ascii="Arial" w:hAnsi="Arial" w:cs="Arial"/>
          <w:b/>
          <w:bCs/>
          <w:color w:val="000000"/>
          <w:sz w:val="22"/>
          <w:szCs w:val="22"/>
        </w:rPr>
        <w:t>– transposition de l’article 6, paragraphe 6 de la directive 2011/61/UE du Parlement européen et du Conseil du 8 juin 2011;</w:t>
      </w:r>
    </w:p>
    <w:p w:rsidR="0031011B" w:rsidRPr="000B0365" w:rsidRDefault="0031011B" w:rsidP="0031011B">
      <w:pPr>
        <w:pStyle w:val="Pa5"/>
        <w:spacing w:line="240" w:lineRule="auto"/>
        <w:jc w:val="both"/>
        <w:rPr>
          <w:rFonts w:ascii="Arial" w:hAnsi="Arial" w:cs="Arial"/>
          <w:color w:val="000000"/>
          <w:sz w:val="22"/>
          <w:szCs w:val="22"/>
        </w:rPr>
      </w:pPr>
      <w:r w:rsidRPr="000B0365">
        <w:rPr>
          <w:rFonts w:ascii="Arial" w:hAnsi="Arial" w:cs="Arial"/>
          <w:b/>
          <w:bCs/>
          <w:color w:val="000000"/>
          <w:sz w:val="22"/>
          <w:szCs w:val="22"/>
        </w:rPr>
        <w:t>– modification de:</w:t>
      </w:r>
    </w:p>
    <w:p w:rsidR="0031011B" w:rsidRPr="000B0365" w:rsidRDefault="0031011B" w:rsidP="0031011B">
      <w:pPr>
        <w:pStyle w:val="Pa6"/>
        <w:spacing w:line="240" w:lineRule="auto"/>
        <w:jc w:val="both"/>
        <w:rPr>
          <w:rFonts w:ascii="Arial" w:hAnsi="Arial" w:cs="Arial"/>
          <w:color w:val="000000"/>
          <w:sz w:val="22"/>
          <w:szCs w:val="22"/>
        </w:rPr>
      </w:pPr>
      <w:r w:rsidRPr="000B0365">
        <w:rPr>
          <w:rFonts w:ascii="Arial" w:hAnsi="Arial" w:cs="Arial"/>
          <w:b/>
          <w:bCs/>
          <w:color w:val="000000"/>
          <w:sz w:val="22"/>
          <w:szCs w:val="22"/>
        </w:rPr>
        <w:t>1. la loi modifiée du 5 avril 1993 relative au secteur financier;</w:t>
      </w:r>
    </w:p>
    <w:p w:rsidR="0031011B" w:rsidRPr="000B0365" w:rsidRDefault="0031011B" w:rsidP="0031011B">
      <w:pPr>
        <w:pStyle w:val="Pa6"/>
        <w:spacing w:line="240" w:lineRule="auto"/>
        <w:jc w:val="both"/>
        <w:rPr>
          <w:rFonts w:ascii="Arial" w:hAnsi="Arial" w:cs="Arial"/>
          <w:color w:val="000000"/>
          <w:sz w:val="22"/>
          <w:szCs w:val="22"/>
        </w:rPr>
      </w:pPr>
      <w:r w:rsidRPr="000B0365">
        <w:rPr>
          <w:rFonts w:ascii="Arial" w:hAnsi="Arial" w:cs="Arial"/>
          <w:b/>
          <w:bCs/>
          <w:color w:val="000000"/>
          <w:sz w:val="22"/>
          <w:szCs w:val="22"/>
        </w:rPr>
        <w:t>2. la loi modifiée du 23 décembre 1998 portant création d’une commission de surveillance du secteur financier;</w:t>
      </w:r>
    </w:p>
    <w:p w:rsidR="0031011B" w:rsidRPr="000B0365" w:rsidRDefault="0031011B" w:rsidP="0031011B">
      <w:pPr>
        <w:pStyle w:val="Pa6"/>
        <w:spacing w:line="240" w:lineRule="auto"/>
        <w:jc w:val="both"/>
        <w:rPr>
          <w:rFonts w:ascii="Arial" w:hAnsi="Arial" w:cs="Arial"/>
          <w:b/>
          <w:bCs/>
          <w:color w:val="000000"/>
          <w:sz w:val="22"/>
          <w:szCs w:val="22"/>
        </w:rPr>
      </w:pPr>
      <w:r w:rsidRPr="000B0365">
        <w:rPr>
          <w:rFonts w:ascii="Arial" w:hAnsi="Arial" w:cs="Arial"/>
          <w:b/>
          <w:bCs/>
          <w:color w:val="000000"/>
          <w:sz w:val="22"/>
          <w:szCs w:val="22"/>
        </w:rPr>
        <w:t>3. la loi du 12 juillet 2013 relative aux gestionnaires de fonds d’investissement alternatifs</w:t>
      </w:r>
    </w:p>
    <w:p w:rsidR="00CE0C3C" w:rsidRPr="000B1D18" w:rsidRDefault="00CE0C3C" w:rsidP="00CE0C3C">
      <w:pPr>
        <w:spacing w:after="0" w:line="240" w:lineRule="auto"/>
        <w:jc w:val="center"/>
        <w:rPr>
          <w:rFonts w:ascii="Arial" w:hAnsi="Arial" w:cs="Arial"/>
          <w:b/>
          <w:noProof/>
        </w:rPr>
      </w:pPr>
    </w:p>
    <w:p w:rsidR="00CE0C3C" w:rsidRPr="000B1D18" w:rsidRDefault="000B0365" w:rsidP="00CE0C3C">
      <w:pPr>
        <w:pStyle w:val="Sansinterligne"/>
        <w:jc w:val="both"/>
        <w:rPr>
          <w:rFonts w:ascii="Arial" w:hAnsi="Arial" w:cs="Arial"/>
          <w:sz w:val="22"/>
          <w:szCs w:val="22"/>
          <w:shd w:val="clear" w:color="auto" w:fill="FFFFFF"/>
          <w:lang w:val="fr-FR"/>
        </w:rPr>
      </w:pPr>
      <w:r>
        <w:rPr>
          <w:rFonts w:ascii="Arial" w:hAnsi="Arial" w:cs="Arial"/>
          <w:iCs/>
          <w:sz w:val="22"/>
          <w:szCs w:val="22"/>
          <w:shd w:val="clear" w:color="auto" w:fill="FFFFFF"/>
          <w:lang w:val="fr-FR"/>
        </w:rPr>
        <w:t xml:space="preserve">Suite à </w:t>
      </w:r>
      <w:r w:rsidR="00CE0C3C" w:rsidRPr="000B1D18">
        <w:rPr>
          <w:rFonts w:ascii="Arial" w:hAnsi="Arial" w:cs="Arial"/>
          <w:iCs/>
          <w:sz w:val="22"/>
          <w:szCs w:val="22"/>
          <w:shd w:val="clear" w:color="auto" w:fill="FFFFFF"/>
          <w:lang w:val="fr-FR"/>
        </w:rPr>
        <w:t>la crise financière de 2007-</w:t>
      </w:r>
      <w:r>
        <w:rPr>
          <w:rFonts w:ascii="Arial" w:hAnsi="Arial" w:cs="Arial"/>
          <w:iCs/>
          <w:sz w:val="22"/>
          <w:szCs w:val="22"/>
          <w:shd w:val="clear" w:color="auto" w:fill="FFFFFF"/>
          <w:lang w:val="fr-FR"/>
        </w:rPr>
        <w:t>2008,</w:t>
      </w:r>
      <w:r w:rsidR="00CE0C3C" w:rsidRPr="000B1D18">
        <w:rPr>
          <w:rFonts w:ascii="Arial" w:hAnsi="Arial" w:cs="Arial"/>
          <w:iCs/>
          <w:sz w:val="22"/>
          <w:szCs w:val="22"/>
          <w:shd w:val="clear" w:color="auto" w:fill="FFFFFF"/>
          <w:lang w:val="fr-FR"/>
        </w:rPr>
        <w:t xml:space="preserve"> </w:t>
      </w:r>
      <w:r>
        <w:rPr>
          <w:rFonts w:ascii="Arial" w:hAnsi="Arial" w:cs="Arial"/>
          <w:iCs/>
          <w:sz w:val="22"/>
          <w:szCs w:val="22"/>
          <w:shd w:val="clear" w:color="auto" w:fill="FFFFFF"/>
          <w:lang w:val="fr-FR"/>
        </w:rPr>
        <w:t>l</w:t>
      </w:r>
      <w:r w:rsidR="00CE0C3C" w:rsidRPr="000B1D18">
        <w:rPr>
          <w:rFonts w:ascii="Arial" w:hAnsi="Arial" w:cs="Arial"/>
          <w:iCs/>
          <w:sz w:val="22"/>
          <w:szCs w:val="22"/>
          <w:shd w:val="clear" w:color="auto" w:fill="FFFFFF"/>
          <w:lang w:val="fr-FR"/>
        </w:rPr>
        <w:t xml:space="preserve">ors du sommet de la zone euro en juin 2012, le Conseil européen a décidé de créer une Union bancaire qui permettrait d’assurer de manière centralisée la surveillance et la résolution des banques de la zone euro. </w:t>
      </w:r>
      <w:r w:rsidR="00CE0C3C" w:rsidRPr="000B1D18">
        <w:rPr>
          <w:rFonts w:ascii="Arial" w:hAnsi="Arial" w:cs="Arial"/>
          <w:sz w:val="22"/>
          <w:szCs w:val="22"/>
          <w:shd w:val="clear" w:color="auto" w:fill="FFFFFF"/>
          <w:lang w:val="fr-FR"/>
        </w:rPr>
        <w:t>L’Union bancaire se compose d’un côté du Mécanisme de surveillan</w:t>
      </w:r>
      <w:r w:rsidR="006A5A53">
        <w:rPr>
          <w:rFonts w:ascii="Arial" w:hAnsi="Arial" w:cs="Arial"/>
          <w:sz w:val="22"/>
          <w:szCs w:val="22"/>
          <w:shd w:val="clear" w:color="auto" w:fill="FFFFFF"/>
          <w:lang w:val="fr-FR"/>
        </w:rPr>
        <w:t>ce unique (MSU) et de l’autre cô</w:t>
      </w:r>
      <w:r w:rsidR="00CE0C3C" w:rsidRPr="000B1D18">
        <w:rPr>
          <w:rFonts w:ascii="Arial" w:hAnsi="Arial" w:cs="Arial"/>
          <w:sz w:val="22"/>
          <w:szCs w:val="22"/>
          <w:shd w:val="clear" w:color="auto" w:fill="FFFFFF"/>
          <w:lang w:val="fr-FR"/>
        </w:rPr>
        <w:t>té du Mécanisme de résolution unique (MRU), obligatoires pour tous les États membres de la zone euro et ouverts à tous les autres pays de l’UE. </w:t>
      </w:r>
    </w:p>
    <w:p w:rsidR="00CE0C3C" w:rsidRPr="000B1D18" w:rsidRDefault="00CE0C3C" w:rsidP="00CE0C3C">
      <w:pPr>
        <w:pStyle w:val="Sansinterligne"/>
        <w:jc w:val="both"/>
        <w:rPr>
          <w:rFonts w:ascii="Arial" w:hAnsi="Arial" w:cs="Arial"/>
          <w:sz w:val="22"/>
          <w:szCs w:val="22"/>
          <w:shd w:val="clear" w:color="auto" w:fill="FFFFFF"/>
          <w:lang w:val="fr-FR"/>
        </w:rPr>
      </w:pPr>
    </w:p>
    <w:p w:rsidR="00CE0C3C" w:rsidRPr="000B1D18" w:rsidRDefault="00CE0C3C" w:rsidP="00CE0C3C">
      <w:pPr>
        <w:spacing w:after="0" w:line="240" w:lineRule="auto"/>
        <w:jc w:val="both"/>
        <w:rPr>
          <w:rFonts w:ascii="Arial" w:eastAsia="Times New Roman" w:hAnsi="Arial" w:cs="Arial"/>
          <w:lang w:val="fr-FR"/>
        </w:rPr>
      </w:pPr>
      <w:r w:rsidRPr="000B1D18">
        <w:rPr>
          <w:rFonts w:ascii="Arial" w:eastAsia="Times New Roman" w:hAnsi="Arial" w:cs="Arial"/>
          <w:lang w:val="fr-FR"/>
        </w:rPr>
        <w:t>Entré officiellement en fonction en novembre 2014, le MSU se compose de la Banque centrale européenne (BCE) et des autorités compétentes nationales (ACN) des États membres participants. La BCE est chargée de veiller au fonctionnement efficace et cohérent du MSU et supervise le fonctionnement du système. Afin d’assurer une surveillance efficace, les établissements de crédit sont classés en t</w:t>
      </w:r>
      <w:r>
        <w:rPr>
          <w:rFonts w:ascii="Arial" w:eastAsia="Times New Roman" w:hAnsi="Arial" w:cs="Arial"/>
          <w:lang w:val="fr-FR"/>
        </w:rPr>
        <w:t xml:space="preserve">ant qu’établissements « importants » ou « moins importants </w:t>
      </w:r>
      <w:r w:rsidRPr="000B1D18">
        <w:rPr>
          <w:rFonts w:ascii="Arial" w:eastAsia="Times New Roman" w:hAnsi="Arial" w:cs="Arial"/>
          <w:lang w:val="fr-FR"/>
        </w:rPr>
        <w:t xml:space="preserve">»; la BCE exerce une surveillance directe sur les banques importantes, tandis que les ACN sont chargées de la surveillance des banques moins importantes. Cette surveillance se base sur des procédures et approches développées par le MSU et appliquées de manière uniforme à travers l’Union bancaire. </w:t>
      </w:r>
    </w:p>
    <w:p w:rsidR="00CE0C3C" w:rsidRPr="0060662C" w:rsidRDefault="00CE0C3C" w:rsidP="00CE0C3C">
      <w:pPr>
        <w:spacing w:after="0" w:line="240" w:lineRule="auto"/>
        <w:jc w:val="both"/>
        <w:rPr>
          <w:rFonts w:ascii="Times" w:eastAsia="Times New Roman" w:hAnsi="Times"/>
        </w:rPr>
      </w:pPr>
    </w:p>
    <w:p w:rsidR="00CE0C3C" w:rsidRPr="000B1D18" w:rsidRDefault="00CE0C3C" w:rsidP="00CE0C3C">
      <w:pPr>
        <w:pStyle w:val="Sansinterligne"/>
        <w:jc w:val="both"/>
        <w:rPr>
          <w:rFonts w:ascii="Arial" w:hAnsi="Arial" w:cs="Arial"/>
          <w:sz w:val="22"/>
          <w:szCs w:val="22"/>
          <w:lang w:val="fr-FR"/>
        </w:rPr>
      </w:pPr>
      <w:r w:rsidRPr="000B1D18">
        <w:rPr>
          <w:rFonts w:ascii="Arial" w:eastAsia="Times New Roman" w:hAnsi="Arial" w:cs="Arial"/>
          <w:sz w:val="22"/>
          <w:szCs w:val="22"/>
          <w:lang w:val="fr-FR"/>
        </w:rPr>
        <w:t>Le 20 juillet 2011, la Commission européenne a adopté un paquet législatif afin de consolider la régulation du secteur bancaire. L</w:t>
      </w:r>
      <w:r w:rsidR="006A5A53">
        <w:rPr>
          <w:rFonts w:ascii="Arial" w:eastAsia="Times New Roman" w:hAnsi="Arial" w:cs="Arial"/>
          <w:sz w:val="22"/>
          <w:szCs w:val="22"/>
          <w:lang w:val="fr-FR"/>
        </w:rPr>
        <w:t>es</w:t>
      </w:r>
      <w:r w:rsidRPr="000B1D18">
        <w:rPr>
          <w:rFonts w:ascii="Arial" w:eastAsia="Times New Roman" w:hAnsi="Arial" w:cs="Arial"/>
          <w:sz w:val="22"/>
          <w:szCs w:val="22"/>
          <w:lang w:val="fr-FR"/>
        </w:rPr>
        <w:t xml:space="preserve"> proposition</w:t>
      </w:r>
      <w:r w:rsidR="006A5A53">
        <w:rPr>
          <w:rFonts w:ascii="Arial" w:eastAsia="Times New Roman" w:hAnsi="Arial" w:cs="Arial"/>
          <w:sz w:val="22"/>
          <w:szCs w:val="22"/>
          <w:lang w:val="fr-FR"/>
        </w:rPr>
        <w:t>s</w:t>
      </w:r>
      <w:r w:rsidRPr="000B1D18">
        <w:rPr>
          <w:rFonts w:ascii="Arial" w:eastAsia="Times New Roman" w:hAnsi="Arial" w:cs="Arial"/>
          <w:sz w:val="22"/>
          <w:szCs w:val="22"/>
          <w:lang w:val="fr-FR"/>
        </w:rPr>
        <w:t xml:space="preserve"> </w:t>
      </w:r>
      <w:r w:rsidR="006A5A53">
        <w:rPr>
          <w:rFonts w:ascii="Arial" w:eastAsia="Times New Roman" w:hAnsi="Arial" w:cs="Arial"/>
          <w:sz w:val="22"/>
          <w:szCs w:val="22"/>
          <w:lang w:val="fr-FR"/>
        </w:rPr>
        <w:t xml:space="preserve">législatives en question remplacent </w:t>
      </w:r>
      <w:r w:rsidRPr="000B1D18">
        <w:rPr>
          <w:rFonts w:ascii="Arial" w:eastAsia="Times New Roman" w:hAnsi="Arial" w:cs="Arial"/>
          <w:sz w:val="22"/>
          <w:szCs w:val="22"/>
          <w:lang w:val="fr-FR"/>
        </w:rPr>
        <w:t xml:space="preserve">les directives </w:t>
      </w:r>
      <w:r w:rsidRPr="000B1D18">
        <w:rPr>
          <w:rFonts w:ascii="Arial" w:eastAsia="Times New Roman" w:hAnsi="Arial" w:cs="Arial"/>
          <w:color w:val="000000"/>
          <w:sz w:val="22"/>
          <w:szCs w:val="22"/>
          <w:shd w:val="clear" w:color="auto" w:fill="FFFFFF"/>
          <w:lang w:val="fr-FR"/>
        </w:rPr>
        <w:t>2006/48</w:t>
      </w:r>
      <w:r>
        <w:rPr>
          <w:rFonts w:ascii="Arial" w:eastAsia="Times New Roman" w:hAnsi="Arial" w:cs="Arial"/>
          <w:color w:val="000000"/>
          <w:sz w:val="22"/>
          <w:szCs w:val="22"/>
          <w:shd w:val="clear" w:color="auto" w:fill="FFFFFF"/>
          <w:lang w:val="fr-FR"/>
        </w:rPr>
        <w:t>/CE</w:t>
      </w:r>
      <w:r w:rsidRPr="000B1D18">
        <w:rPr>
          <w:rFonts w:ascii="Arial" w:eastAsia="Times New Roman" w:hAnsi="Arial" w:cs="Arial"/>
          <w:color w:val="000000"/>
          <w:sz w:val="22"/>
          <w:szCs w:val="22"/>
          <w:shd w:val="clear" w:color="auto" w:fill="FFFFFF"/>
          <w:lang w:val="fr-FR"/>
        </w:rPr>
        <w:t xml:space="preserve"> </w:t>
      </w:r>
      <w:r w:rsidR="0031011B">
        <w:rPr>
          <w:rFonts w:ascii="Arial" w:eastAsia="Times New Roman" w:hAnsi="Arial" w:cs="Arial"/>
          <w:color w:val="000000"/>
          <w:sz w:val="22"/>
          <w:szCs w:val="22"/>
          <w:shd w:val="clear" w:color="auto" w:fill="FFFFFF"/>
          <w:lang w:val="fr-FR"/>
        </w:rPr>
        <w:t>et</w:t>
      </w:r>
      <w:r w:rsidRPr="000B1D18">
        <w:rPr>
          <w:rFonts w:ascii="Arial" w:eastAsia="Times New Roman" w:hAnsi="Arial" w:cs="Arial"/>
          <w:color w:val="000000"/>
          <w:sz w:val="22"/>
          <w:szCs w:val="22"/>
          <w:shd w:val="clear" w:color="auto" w:fill="FFFFFF"/>
          <w:lang w:val="fr-FR"/>
        </w:rPr>
        <w:t xml:space="preserve"> 2006/49</w:t>
      </w:r>
      <w:r>
        <w:rPr>
          <w:rFonts w:ascii="Arial" w:eastAsia="Times New Roman" w:hAnsi="Arial" w:cs="Arial"/>
          <w:color w:val="000000"/>
          <w:sz w:val="22"/>
          <w:szCs w:val="22"/>
          <w:shd w:val="clear" w:color="auto" w:fill="FFFFFF"/>
          <w:lang w:val="fr-FR"/>
        </w:rPr>
        <w:t>/CE</w:t>
      </w:r>
      <w:r w:rsidRPr="000B1D18">
        <w:rPr>
          <w:rFonts w:ascii="Arial" w:eastAsia="Times New Roman" w:hAnsi="Arial" w:cs="Arial"/>
          <w:color w:val="000000"/>
          <w:sz w:val="22"/>
          <w:szCs w:val="22"/>
          <w:shd w:val="clear" w:color="auto" w:fill="FFFFFF"/>
          <w:lang w:val="fr-FR"/>
        </w:rPr>
        <w:t xml:space="preserve"> par </w:t>
      </w:r>
      <w:r w:rsidRPr="000B1D18">
        <w:rPr>
          <w:rFonts w:ascii="Arial" w:hAnsi="Arial" w:cs="Arial"/>
          <w:sz w:val="22"/>
          <w:szCs w:val="22"/>
          <w:lang w:val="fr-FR"/>
        </w:rPr>
        <w:t xml:space="preserve">le règlement (UE) n°575/2013 (« Capital Requirements Regulation » ou CRR) et la </w:t>
      </w:r>
      <w:r w:rsidRPr="00931304">
        <w:rPr>
          <w:rFonts w:ascii="Arial" w:hAnsi="Arial" w:cs="Arial"/>
          <w:sz w:val="22"/>
          <w:szCs w:val="22"/>
          <w:u w:val="single"/>
          <w:lang w:val="fr-FR"/>
        </w:rPr>
        <w:t>directive 2013/36/UE</w:t>
      </w:r>
      <w:r w:rsidRPr="000B1D18">
        <w:rPr>
          <w:rFonts w:ascii="Arial" w:hAnsi="Arial" w:cs="Arial"/>
          <w:sz w:val="22"/>
          <w:szCs w:val="22"/>
          <w:lang w:val="fr-FR"/>
        </w:rPr>
        <w:t xml:space="preserve"> (« </w:t>
      </w:r>
      <w:r w:rsidRPr="00931304">
        <w:rPr>
          <w:rFonts w:ascii="Arial" w:hAnsi="Arial" w:cs="Arial"/>
          <w:sz w:val="22"/>
          <w:szCs w:val="22"/>
          <w:u w:val="single"/>
          <w:lang w:val="fr-FR"/>
        </w:rPr>
        <w:t>Capital Requirements Directive » ou « CRD IV »</w:t>
      </w:r>
      <w:r w:rsidRPr="000B1D18">
        <w:rPr>
          <w:rFonts w:ascii="Arial" w:hAnsi="Arial" w:cs="Arial"/>
          <w:sz w:val="22"/>
          <w:szCs w:val="22"/>
          <w:lang w:val="fr-FR"/>
        </w:rPr>
        <w:t xml:space="preserve">). Allant au delà </w:t>
      </w:r>
      <w:r w:rsidR="0045314B">
        <w:rPr>
          <w:rFonts w:ascii="Arial" w:hAnsi="Arial" w:cs="Arial"/>
          <w:sz w:val="22"/>
          <w:szCs w:val="22"/>
          <w:lang w:val="fr-FR"/>
        </w:rPr>
        <w:t>d</w:t>
      </w:r>
      <w:r>
        <w:rPr>
          <w:rFonts w:ascii="Arial" w:hAnsi="Arial" w:cs="Arial"/>
          <w:sz w:val="22"/>
          <w:szCs w:val="22"/>
          <w:lang w:val="fr-FR"/>
        </w:rPr>
        <w:t>es critères</w:t>
      </w:r>
      <w:r w:rsidRPr="000B1D18">
        <w:rPr>
          <w:rFonts w:ascii="Arial" w:hAnsi="Arial" w:cs="Arial"/>
          <w:sz w:val="22"/>
          <w:szCs w:val="22"/>
          <w:lang w:val="fr-FR"/>
        </w:rPr>
        <w:t xml:space="preserve"> prévus par la réglementation </w:t>
      </w:r>
      <w:r w:rsidR="006A5A53">
        <w:rPr>
          <w:rFonts w:ascii="Arial" w:hAnsi="Arial" w:cs="Arial"/>
          <w:sz w:val="22"/>
          <w:szCs w:val="22"/>
          <w:lang w:val="fr-FR"/>
        </w:rPr>
        <w:t>dite</w:t>
      </w:r>
      <w:r w:rsidRPr="000B1D18">
        <w:rPr>
          <w:rFonts w:ascii="Arial" w:hAnsi="Arial" w:cs="Arial"/>
          <w:sz w:val="22"/>
          <w:szCs w:val="22"/>
          <w:lang w:val="fr-FR"/>
        </w:rPr>
        <w:t xml:space="preserve"> « B</w:t>
      </w:r>
      <w:r w:rsidR="006A5A53">
        <w:rPr>
          <w:rFonts w:ascii="Arial" w:hAnsi="Arial" w:cs="Arial"/>
          <w:sz w:val="22"/>
          <w:szCs w:val="22"/>
          <w:lang w:val="fr-FR"/>
        </w:rPr>
        <w:t>âle</w:t>
      </w:r>
      <w:r w:rsidRPr="000B1D18">
        <w:rPr>
          <w:rFonts w:ascii="Arial" w:hAnsi="Arial" w:cs="Arial"/>
          <w:sz w:val="22"/>
          <w:szCs w:val="22"/>
          <w:lang w:val="fr-FR"/>
        </w:rPr>
        <w:t xml:space="preserve"> III »</w:t>
      </w:r>
      <w:r>
        <w:rPr>
          <w:rFonts w:ascii="Arial" w:hAnsi="Arial" w:cs="Arial"/>
          <w:sz w:val="22"/>
          <w:szCs w:val="22"/>
          <w:lang w:val="fr-FR"/>
        </w:rPr>
        <w:t>,</w:t>
      </w:r>
      <w:r w:rsidRPr="000B1D18">
        <w:rPr>
          <w:rFonts w:ascii="Arial" w:eastAsia="Times New Roman" w:hAnsi="Arial" w:cs="Arial"/>
          <w:sz w:val="22"/>
          <w:szCs w:val="22"/>
          <w:lang w:val="fr-FR"/>
        </w:rPr>
        <w:t xml:space="preserve"> applicables au niveau mondial à tous les grands groupes bancaires ayant une activité international</w:t>
      </w:r>
      <w:r>
        <w:rPr>
          <w:rFonts w:ascii="Arial" w:eastAsia="Times New Roman" w:hAnsi="Arial" w:cs="Arial"/>
          <w:sz w:val="22"/>
          <w:szCs w:val="22"/>
          <w:lang w:val="fr-FR"/>
        </w:rPr>
        <w:t>e</w:t>
      </w:r>
      <w:r w:rsidRPr="000B1D18">
        <w:rPr>
          <w:rFonts w:ascii="Arial" w:eastAsia="Times New Roman" w:hAnsi="Arial" w:cs="Arial"/>
          <w:sz w:val="22"/>
          <w:szCs w:val="22"/>
          <w:lang w:val="fr-FR"/>
        </w:rPr>
        <w:t>,</w:t>
      </w:r>
      <w:r w:rsidRPr="000B1D18">
        <w:rPr>
          <w:rFonts w:ascii="Arial" w:hAnsi="Arial" w:cs="Arial"/>
          <w:sz w:val="22"/>
          <w:szCs w:val="22"/>
          <w:lang w:val="fr-FR"/>
        </w:rPr>
        <w:t xml:space="preserve"> </w:t>
      </w:r>
      <w:r w:rsidR="006A5A53">
        <w:rPr>
          <w:rFonts w:ascii="Arial" w:hAnsi="Arial" w:cs="Arial"/>
          <w:sz w:val="22"/>
          <w:szCs w:val="22"/>
          <w:lang w:val="fr-FR"/>
        </w:rPr>
        <w:t xml:space="preserve">ces deux textes </w:t>
      </w:r>
      <w:r w:rsidRPr="000B1D18">
        <w:rPr>
          <w:rFonts w:ascii="Arial" w:hAnsi="Arial" w:cs="Arial"/>
          <w:sz w:val="22"/>
          <w:szCs w:val="22"/>
          <w:lang w:val="fr-FR"/>
        </w:rPr>
        <w:t>forment désormais le cadre légal européen pour l’agrément des établissements de crédit et la surveillance prudentielle des établissements de crédit et des entreprises d’investissement. C’est sur ces deux textes que se base la surveillance de la BCE et des ACN.</w:t>
      </w:r>
    </w:p>
    <w:p w:rsidR="00CE0C3C" w:rsidRPr="000B1D18" w:rsidRDefault="00CE0C3C" w:rsidP="00CE0C3C">
      <w:pPr>
        <w:pStyle w:val="Sansinterligne"/>
        <w:jc w:val="both"/>
        <w:rPr>
          <w:rFonts w:ascii="Arial" w:hAnsi="Arial" w:cs="Arial"/>
          <w:sz w:val="22"/>
          <w:szCs w:val="22"/>
          <w:lang w:val="fr-FR"/>
        </w:rPr>
      </w:pPr>
    </w:p>
    <w:p w:rsidR="00CE0C3C" w:rsidRDefault="00CE0C3C" w:rsidP="00CE0C3C">
      <w:pPr>
        <w:widowControl w:val="0"/>
        <w:autoSpaceDE w:val="0"/>
        <w:autoSpaceDN w:val="0"/>
        <w:adjustRightInd w:val="0"/>
        <w:spacing w:after="0" w:line="240" w:lineRule="auto"/>
        <w:jc w:val="both"/>
        <w:rPr>
          <w:rFonts w:ascii="Arial" w:eastAsia="Times New Roman" w:hAnsi="Arial" w:cs="Arial"/>
          <w:lang w:val="fr-FR"/>
        </w:rPr>
      </w:pPr>
      <w:r w:rsidRPr="000B1D18">
        <w:rPr>
          <w:rFonts w:ascii="Arial" w:eastAsia="Times New Roman" w:hAnsi="Arial" w:cs="Arial"/>
          <w:color w:val="000000"/>
          <w:lang w:val="fr-FR"/>
        </w:rPr>
        <w:t>Les innovations du paquet « CRD IV »</w:t>
      </w:r>
      <w:r w:rsidR="0031011B">
        <w:rPr>
          <w:rFonts w:ascii="Arial" w:eastAsia="Times New Roman" w:hAnsi="Arial" w:cs="Arial"/>
          <w:color w:val="000000"/>
          <w:lang w:val="fr-FR"/>
        </w:rPr>
        <w:t xml:space="preserve"> </w:t>
      </w:r>
      <w:r w:rsidR="006A5A53">
        <w:rPr>
          <w:rFonts w:ascii="Arial" w:eastAsia="Times New Roman" w:hAnsi="Arial" w:cs="Arial"/>
          <w:color w:val="000000"/>
          <w:lang w:val="fr-FR"/>
        </w:rPr>
        <w:t>reflètent</w:t>
      </w:r>
      <w:r w:rsidR="0031011B">
        <w:rPr>
          <w:rFonts w:ascii="Arial" w:eastAsia="Times New Roman" w:hAnsi="Arial" w:cs="Arial"/>
          <w:color w:val="000000"/>
          <w:lang w:val="fr-FR"/>
        </w:rPr>
        <w:t xml:space="preserve"> </w:t>
      </w:r>
      <w:r w:rsidR="006A5A53">
        <w:rPr>
          <w:rFonts w:ascii="Arial" w:eastAsia="Times New Roman" w:hAnsi="Arial" w:cs="Arial"/>
          <w:color w:val="000000"/>
          <w:lang w:val="fr-FR"/>
        </w:rPr>
        <w:t>le</w:t>
      </w:r>
      <w:r w:rsidRPr="000B1D18">
        <w:rPr>
          <w:rFonts w:ascii="Arial" w:eastAsia="Times New Roman" w:hAnsi="Arial" w:cs="Arial"/>
          <w:color w:val="000000"/>
          <w:lang w:val="fr-FR"/>
        </w:rPr>
        <w:t xml:space="preserve"> souci d’accroitre la qualité du capital éligible</w:t>
      </w:r>
      <w:r w:rsidR="006A5A53">
        <w:rPr>
          <w:rFonts w:ascii="Arial" w:eastAsia="Times New Roman" w:hAnsi="Arial" w:cs="Arial"/>
          <w:color w:val="000000"/>
          <w:lang w:val="fr-FR"/>
        </w:rPr>
        <w:t xml:space="preserve"> et</w:t>
      </w:r>
      <w:r w:rsidRPr="000B1D18">
        <w:rPr>
          <w:rFonts w:ascii="Arial" w:eastAsia="Times New Roman" w:hAnsi="Arial" w:cs="Arial"/>
          <w:color w:val="000000"/>
          <w:lang w:val="fr-FR"/>
        </w:rPr>
        <w:t xml:space="preserve"> d’augmenter la quantité de capital détenu</w:t>
      </w:r>
      <w:r w:rsidR="006A5A53">
        <w:rPr>
          <w:rFonts w:ascii="Arial" w:eastAsia="Times New Roman" w:hAnsi="Arial" w:cs="Arial"/>
          <w:color w:val="000000"/>
          <w:lang w:val="fr-FR"/>
        </w:rPr>
        <w:t>. Les textes visent en outre à</w:t>
      </w:r>
      <w:r w:rsidRPr="000B1D18">
        <w:rPr>
          <w:rFonts w:ascii="Arial" w:eastAsia="Times New Roman" w:hAnsi="Arial" w:cs="Arial"/>
          <w:color w:val="000000"/>
          <w:lang w:val="fr-FR"/>
        </w:rPr>
        <w:t xml:space="preserve"> optimiser les standards de</w:t>
      </w:r>
      <w:r w:rsidR="006A5A53">
        <w:rPr>
          <w:rFonts w:ascii="Arial" w:eastAsia="Times New Roman" w:hAnsi="Arial" w:cs="Arial"/>
          <w:color w:val="000000"/>
          <w:lang w:val="fr-FR"/>
        </w:rPr>
        <w:t xml:space="preserve"> la surveillance de la</w:t>
      </w:r>
      <w:r w:rsidRPr="000B1D18">
        <w:rPr>
          <w:rFonts w:ascii="Arial" w:eastAsia="Times New Roman" w:hAnsi="Arial" w:cs="Arial"/>
          <w:color w:val="000000"/>
          <w:lang w:val="fr-FR"/>
        </w:rPr>
        <w:t xml:space="preserve"> liquidité</w:t>
      </w:r>
      <w:r w:rsidR="00A53A06">
        <w:rPr>
          <w:rFonts w:ascii="Arial" w:eastAsia="Times New Roman" w:hAnsi="Arial" w:cs="Arial"/>
          <w:color w:val="000000"/>
          <w:lang w:val="fr-FR"/>
        </w:rPr>
        <w:t xml:space="preserve"> en introduisant, pour la première fois, un cadre règlementaire harmonisé dans ce domaine de la surveillance prudentielle</w:t>
      </w:r>
      <w:r w:rsidR="00A53A06" w:rsidRPr="000B1D18">
        <w:rPr>
          <w:rFonts w:ascii="Arial" w:eastAsia="Times New Roman" w:hAnsi="Arial" w:cs="Arial"/>
          <w:color w:val="000000"/>
          <w:lang w:val="fr-FR"/>
        </w:rPr>
        <w:t>.</w:t>
      </w:r>
      <w:r w:rsidR="0031011B">
        <w:rPr>
          <w:rFonts w:ascii="Arial" w:eastAsia="Times New Roman" w:hAnsi="Arial" w:cs="Arial"/>
          <w:color w:val="000000"/>
          <w:lang w:val="fr-FR"/>
        </w:rPr>
        <w:t xml:space="preserve"> </w:t>
      </w:r>
      <w:r w:rsidR="00A53A06">
        <w:rPr>
          <w:rFonts w:ascii="Arial" w:eastAsia="Times New Roman" w:hAnsi="Arial" w:cs="Arial"/>
          <w:color w:val="000000"/>
          <w:lang w:val="fr-FR"/>
        </w:rPr>
        <w:t>I</w:t>
      </w:r>
      <w:r w:rsidRPr="000B1D18">
        <w:rPr>
          <w:rFonts w:ascii="Arial" w:eastAsia="Times New Roman" w:hAnsi="Arial" w:cs="Arial"/>
          <w:lang w:val="fr-FR"/>
        </w:rPr>
        <w:t>l y a</w:t>
      </w:r>
      <w:r w:rsidR="00A53A06">
        <w:rPr>
          <w:rFonts w:ascii="Arial" w:eastAsia="Times New Roman" w:hAnsi="Arial" w:cs="Arial"/>
          <w:lang w:val="fr-FR"/>
        </w:rPr>
        <w:t>, en outre, lieu de citer l</w:t>
      </w:r>
      <w:r w:rsidRPr="000B1D18">
        <w:rPr>
          <w:rFonts w:ascii="Arial" w:eastAsia="Times New Roman" w:hAnsi="Arial" w:cs="Arial"/>
          <w:lang w:val="fr-FR"/>
        </w:rPr>
        <w:t>es dispositions par rapport à la rémunération, au mode de gouvernance, à la diversité de la composition du conseil d’administration, à la transparence à l’égard des activités fin</w:t>
      </w:r>
      <w:r w:rsidR="0045314B">
        <w:rPr>
          <w:rFonts w:ascii="Arial" w:eastAsia="Times New Roman" w:hAnsi="Arial" w:cs="Arial"/>
          <w:lang w:val="fr-FR"/>
        </w:rPr>
        <w:t>ancières, aux réserves</w:t>
      </w:r>
      <w:r w:rsidR="00A53A06">
        <w:rPr>
          <w:rFonts w:ascii="Arial" w:eastAsia="Times New Roman" w:hAnsi="Arial" w:cs="Arial"/>
          <w:lang w:val="fr-FR"/>
        </w:rPr>
        <w:t xml:space="preserve"> de fonds propres pour faire face aux</w:t>
      </w:r>
      <w:r w:rsidR="0045314B">
        <w:rPr>
          <w:rFonts w:ascii="Arial" w:eastAsia="Times New Roman" w:hAnsi="Arial" w:cs="Arial"/>
          <w:lang w:val="fr-FR"/>
        </w:rPr>
        <w:t xml:space="preserve"> risque</w:t>
      </w:r>
      <w:r w:rsidR="00A53A06">
        <w:rPr>
          <w:rFonts w:ascii="Arial" w:eastAsia="Times New Roman" w:hAnsi="Arial" w:cs="Arial"/>
          <w:lang w:val="fr-FR"/>
        </w:rPr>
        <w:t>s</w:t>
      </w:r>
      <w:r w:rsidRPr="000B1D18">
        <w:rPr>
          <w:rFonts w:ascii="Arial" w:eastAsia="Times New Roman" w:hAnsi="Arial" w:cs="Arial"/>
          <w:lang w:val="fr-FR"/>
        </w:rPr>
        <w:t xml:space="preserve"> </w:t>
      </w:r>
      <w:r>
        <w:rPr>
          <w:rFonts w:ascii="Arial" w:eastAsia="Times New Roman" w:hAnsi="Arial" w:cs="Arial"/>
          <w:lang w:val="fr-FR"/>
        </w:rPr>
        <w:t>systémique</w:t>
      </w:r>
      <w:r w:rsidR="00A53A06">
        <w:rPr>
          <w:rFonts w:ascii="Arial" w:eastAsia="Times New Roman" w:hAnsi="Arial" w:cs="Arial"/>
          <w:lang w:val="fr-FR"/>
        </w:rPr>
        <w:t>s</w:t>
      </w:r>
      <w:r>
        <w:rPr>
          <w:rFonts w:ascii="Arial" w:eastAsia="Times New Roman" w:hAnsi="Arial" w:cs="Arial"/>
          <w:lang w:val="fr-FR"/>
        </w:rPr>
        <w:t>, aux pouvoirs de</w:t>
      </w:r>
      <w:r w:rsidR="00A53A06">
        <w:rPr>
          <w:rFonts w:ascii="Arial" w:eastAsia="Times New Roman" w:hAnsi="Arial" w:cs="Arial"/>
          <w:lang w:val="fr-FR"/>
        </w:rPr>
        <w:t>s</w:t>
      </w:r>
      <w:r>
        <w:rPr>
          <w:rFonts w:ascii="Arial" w:eastAsia="Times New Roman" w:hAnsi="Arial" w:cs="Arial"/>
          <w:lang w:val="fr-FR"/>
        </w:rPr>
        <w:t xml:space="preserve"> autorités de surveillance et aux sanctions administratives.</w:t>
      </w:r>
    </w:p>
    <w:p w:rsidR="00CE0C3C" w:rsidRDefault="00CE0C3C" w:rsidP="00CE0C3C">
      <w:pPr>
        <w:widowControl w:val="0"/>
        <w:autoSpaceDE w:val="0"/>
        <w:autoSpaceDN w:val="0"/>
        <w:adjustRightInd w:val="0"/>
        <w:spacing w:after="0" w:line="240" w:lineRule="auto"/>
        <w:jc w:val="both"/>
        <w:rPr>
          <w:rFonts w:ascii="Arial" w:eastAsia="Times New Roman" w:hAnsi="Arial" w:cs="Arial"/>
          <w:lang w:val="fr-FR"/>
        </w:rPr>
      </w:pPr>
    </w:p>
    <w:p w:rsidR="00CE0C3C" w:rsidRPr="000B1D18" w:rsidRDefault="00CE0C3C" w:rsidP="00CE0C3C">
      <w:pPr>
        <w:spacing w:after="0" w:line="240" w:lineRule="auto"/>
        <w:jc w:val="both"/>
        <w:rPr>
          <w:rFonts w:ascii="Arial" w:hAnsi="Arial" w:cs="Arial"/>
          <w:color w:val="000000"/>
          <w:lang w:val="fr-FR"/>
        </w:rPr>
      </w:pPr>
      <w:r w:rsidRPr="000B1D18">
        <w:rPr>
          <w:rFonts w:ascii="Arial" w:hAnsi="Arial" w:cs="Arial"/>
          <w:color w:val="000000"/>
          <w:lang w:val="fr-FR"/>
        </w:rPr>
        <w:t xml:space="preserve">Le présent projet de loi vise à </w:t>
      </w:r>
      <w:r w:rsidRPr="00931304">
        <w:rPr>
          <w:rFonts w:ascii="Arial" w:hAnsi="Arial" w:cs="Arial"/>
          <w:color w:val="000000"/>
          <w:u w:val="single"/>
          <w:lang w:val="fr-FR"/>
        </w:rPr>
        <w:t>transposer en droit luxembourgeois les dispositions de ladite directive 2013/36/UE communément appelée « CRD IV »</w:t>
      </w:r>
      <w:r w:rsidRPr="000B1D18">
        <w:rPr>
          <w:rFonts w:ascii="Arial" w:hAnsi="Arial" w:cs="Arial"/>
          <w:color w:val="000000"/>
          <w:lang w:val="fr-FR"/>
        </w:rPr>
        <w:t xml:space="preserve"> (ci-après la « Directive »). Par ailleurs, il abroge les dispositions légales qui font dorénavant double emploi avec le </w:t>
      </w:r>
      <w:r w:rsidRPr="000B1D18">
        <w:rPr>
          <w:rFonts w:ascii="Arial" w:hAnsi="Arial" w:cs="Arial"/>
          <w:color w:val="000000"/>
          <w:lang w:val="fr-FR"/>
        </w:rPr>
        <w:lastRenderedPageBreak/>
        <w:t>règlement (UE) n° 575/2013 (CRR) qui ensemble avec la Directive forme le cadre juridique européen pour l’agrément et la surveillance pru</w:t>
      </w:r>
      <w:r w:rsidRPr="000B1D18">
        <w:rPr>
          <w:rFonts w:ascii="Arial" w:hAnsi="Arial" w:cs="Arial"/>
          <w:color w:val="000000"/>
          <w:lang w:val="fr-FR"/>
        </w:rPr>
        <w:softHyphen/>
        <w:t>dentielle des établissements de crédit et des entreprises d’investissement sans préjudice des dispositions applicables de par la directive 2004/39/CE.</w:t>
      </w:r>
    </w:p>
    <w:p w:rsidR="00CE0C3C" w:rsidRPr="008A292F" w:rsidRDefault="00CE0C3C" w:rsidP="00CE0C3C">
      <w:pPr>
        <w:spacing w:after="0" w:line="240" w:lineRule="auto"/>
        <w:jc w:val="both"/>
        <w:rPr>
          <w:rFonts w:ascii="Arial" w:hAnsi="Arial" w:cs="Arial"/>
          <w:lang w:val="fr-FR"/>
        </w:rPr>
      </w:pPr>
    </w:p>
    <w:p w:rsidR="00CE0C3C" w:rsidRPr="008A292F" w:rsidRDefault="00CE0C3C" w:rsidP="00CE0C3C">
      <w:pPr>
        <w:spacing w:after="0" w:line="240" w:lineRule="auto"/>
        <w:jc w:val="both"/>
        <w:rPr>
          <w:rFonts w:ascii="Arial" w:eastAsia="Times New Roman" w:hAnsi="Arial" w:cs="Arial"/>
          <w:lang w:val="fr-FR"/>
        </w:rPr>
      </w:pPr>
      <w:r w:rsidRPr="008A292F">
        <w:rPr>
          <w:rFonts w:ascii="Arial" w:hAnsi="Arial" w:cs="Arial"/>
          <w:lang w:val="fr-FR"/>
        </w:rPr>
        <w:t>Il en résulte une abrogation des directives 2006/48/CE et 2006/49/CE qui ont été transposées dans la loi du 5 avril 1993 relative au secteur financier et dans les circulaires CSSF, pour ne citer que les plus importantes</w:t>
      </w:r>
      <w:r w:rsidR="00505367">
        <w:rPr>
          <w:rFonts w:ascii="Arial" w:hAnsi="Arial" w:cs="Arial"/>
          <w:lang w:val="fr-FR"/>
        </w:rPr>
        <w:t>,</w:t>
      </w:r>
      <w:r w:rsidRPr="008A292F">
        <w:rPr>
          <w:rFonts w:ascii="Arial" w:hAnsi="Arial" w:cs="Arial"/>
          <w:lang w:val="fr-FR"/>
        </w:rPr>
        <w:t xml:space="preserve"> à savoir les ci</w:t>
      </w:r>
      <w:r w:rsidR="00A53A06">
        <w:rPr>
          <w:rFonts w:ascii="Arial" w:hAnsi="Arial" w:cs="Arial"/>
          <w:lang w:val="fr-FR"/>
        </w:rPr>
        <w:t>rculaires CSSF 06/273 et 07/290</w:t>
      </w:r>
      <w:r w:rsidRPr="008A292F">
        <w:rPr>
          <w:rFonts w:ascii="Arial" w:hAnsi="Arial" w:cs="Arial"/>
          <w:lang w:val="fr-FR"/>
        </w:rPr>
        <w:t xml:space="preserve">. Toutefois, comme </w:t>
      </w:r>
      <w:r w:rsidR="00A53A06">
        <w:rPr>
          <w:rFonts w:ascii="Arial" w:hAnsi="Arial" w:cs="Arial"/>
          <w:lang w:val="fr-FR"/>
        </w:rPr>
        <w:t>beaucoup</w:t>
      </w:r>
      <w:r w:rsidRPr="008A292F">
        <w:rPr>
          <w:rFonts w:ascii="Arial" w:hAnsi="Arial" w:cs="Arial"/>
          <w:lang w:val="fr-FR"/>
        </w:rPr>
        <w:t xml:space="preserve"> de dispositions de la directive 2006/48/CE ont été reprises littéralement dans la Directive et que d’autres </w:t>
      </w:r>
      <w:r w:rsidR="00A53A06">
        <w:rPr>
          <w:rFonts w:ascii="Arial" w:hAnsi="Arial" w:cs="Arial"/>
          <w:lang w:val="fr-FR"/>
        </w:rPr>
        <w:t>n’</w:t>
      </w:r>
      <w:r w:rsidRPr="008A292F">
        <w:rPr>
          <w:rFonts w:ascii="Arial" w:hAnsi="Arial" w:cs="Arial"/>
          <w:lang w:val="fr-FR"/>
        </w:rPr>
        <w:t xml:space="preserve">ont été </w:t>
      </w:r>
      <w:r w:rsidR="00A53A06">
        <w:rPr>
          <w:rFonts w:ascii="Arial" w:hAnsi="Arial" w:cs="Arial"/>
          <w:lang w:val="fr-FR"/>
        </w:rPr>
        <w:t xml:space="preserve">que </w:t>
      </w:r>
      <w:r w:rsidRPr="008A292F">
        <w:rPr>
          <w:rFonts w:ascii="Arial" w:hAnsi="Arial" w:cs="Arial"/>
          <w:lang w:val="fr-FR"/>
        </w:rPr>
        <w:t>légèrement modifiées, le présent projet de loi ne nécessite plus de transposer toute la Directive</w:t>
      </w:r>
      <w:r w:rsidR="00505367">
        <w:rPr>
          <w:rFonts w:ascii="Arial" w:hAnsi="Arial" w:cs="Arial"/>
          <w:lang w:val="fr-FR"/>
        </w:rPr>
        <w:t>,</w:t>
      </w:r>
      <w:r w:rsidRPr="008A292F">
        <w:rPr>
          <w:rFonts w:ascii="Arial" w:hAnsi="Arial" w:cs="Arial"/>
          <w:lang w:val="fr-FR"/>
        </w:rPr>
        <w:t xml:space="preserve"> mais peut se limiter à ne transposer que les modifications par rapport à la directive 2006/48/CE, respectivement par rapport à la directive 2006/49/CE. Les dispositions qui n’ont pas été reprises par la Directive</w:t>
      </w:r>
      <w:r w:rsidR="00505367">
        <w:rPr>
          <w:rFonts w:ascii="Arial" w:hAnsi="Arial" w:cs="Arial"/>
          <w:lang w:val="fr-FR"/>
        </w:rPr>
        <w:t>,</w:t>
      </w:r>
      <w:r w:rsidRPr="008A292F">
        <w:rPr>
          <w:rFonts w:ascii="Arial" w:hAnsi="Arial" w:cs="Arial"/>
          <w:lang w:val="fr-FR"/>
        </w:rPr>
        <w:t xml:space="preserve"> mais par le règlement (UE) n° 575/2013 seront supprimées de la loi du 5 avril 1993 relative au secteur financier.</w:t>
      </w:r>
      <w:r w:rsidRPr="008A292F">
        <w:rPr>
          <w:rFonts w:ascii="Arial" w:eastAsia="Times New Roman" w:hAnsi="Arial" w:cs="Arial"/>
          <w:lang w:val="fr-FR"/>
        </w:rPr>
        <w:t xml:space="preserve"> Ce projet </w:t>
      </w:r>
      <w:r w:rsidR="00505367">
        <w:rPr>
          <w:rFonts w:ascii="Arial" w:eastAsia="Times New Roman" w:hAnsi="Arial" w:cs="Arial"/>
          <w:lang w:val="fr-FR"/>
        </w:rPr>
        <w:t xml:space="preserve">de loi </w:t>
      </w:r>
      <w:r w:rsidR="00A53A06">
        <w:rPr>
          <w:rFonts w:ascii="Arial" w:eastAsia="Times New Roman" w:hAnsi="Arial" w:cs="Arial"/>
          <w:lang w:val="fr-FR"/>
        </w:rPr>
        <w:t>confirme</w:t>
      </w:r>
      <w:r w:rsidRPr="008A292F">
        <w:rPr>
          <w:rFonts w:ascii="Arial" w:eastAsia="Times New Roman" w:hAnsi="Arial" w:cs="Arial"/>
          <w:lang w:val="fr-FR"/>
        </w:rPr>
        <w:t xml:space="preserve"> également la </w:t>
      </w:r>
      <w:r w:rsidRPr="008A292F">
        <w:rPr>
          <w:rFonts w:ascii="Arial" w:eastAsia="Times New Roman" w:hAnsi="Arial" w:cs="Arial"/>
          <w:bCs/>
          <w:lang w:val="fr-FR"/>
        </w:rPr>
        <w:t>Commission de Surveillance du Secteur Financier</w:t>
      </w:r>
      <w:r w:rsidR="00505367">
        <w:rPr>
          <w:rFonts w:ascii="Arial" w:eastAsia="Times New Roman" w:hAnsi="Arial" w:cs="Arial"/>
          <w:bCs/>
          <w:lang w:val="fr-FR"/>
        </w:rPr>
        <w:t xml:space="preserve"> </w:t>
      </w:r>
      <w:r w:rsidRPr="008A292F">
        <w:rPr>
          <w:rFonts w:ascii="Arial" w:eastAsia="Times New Roman" w:hAnsi="Arial" w:cs="Arial"/>
          <w:lang w:val="fr-FR"/>
        </w:rPr>
        <w:t xml:space="preserve">(CSSF) en </w:t>
      </w:r>
      <w:r w:rsidR="00A53A06">
        <w:rPr>
          <w:rFonts w:ascii="Arial" w:eastAsia="Times New Roman" w:hAnsi="Arial" w:cs="Arial"/>
          <w:lang w:val="fr-FR"/>
        </w:rPr>
        <w:t xml:space="preserve">sa </w:t>
      </w:r>
      <w:r w:rsidRPr="008A292F">
        <w:rPr>
          <w:rFonts w:ascii="Arial" w:eastAsia="Times New Roman" w:hAnsi="Arial" w:cs="Arial"/>
          <w:lang w:val="fr-FR"/>
        </w:rPr>
        <w:t>qualité d’autorité compétente</w:t>
      </w:r>
      <w:r w:rsidR="00A53A06">
        <w:rPr>
          <w:rFonts w:ascii="Arial" w:eastAsia="Times New Roman" w:hAnsi="Arial" w:cs="Arial"/>
          <w:lang w:val="fr-FR"/>
        </w:rPr>
        <w:t xml:space="preserve">, y compris </w:t>
      </w:r>
      <w:r w:rsidRPr="008A292F">
        <w:rPr>
          <w:rFonts w:ascii="Arial" w:eastAsia="Times New Roman" w:hAnsi="Arial" w:cs="Arial"/>
          <w:lang w:val="fr-FR"/>
        </w:rPr>
        <w:t xml:space="preserve">dans le contexte du MSU. </w:t>
      </w:r>
    </w:p>
    <w:p w:rsidR="00CE0C3C" w:rsidRPr="008A292F" w:rsidRDefault="00CE0C3C" w:rsidP="00CE0C3C">
      <w:pPr>
        <w:spacing w:after="0" w:line="240" w:lineRule="auto"/>
        <w:jc w:val="both"/>
        <w:rPr>
          <w:rFonts w:ascii="Arial" w:hAnsi="Arial" w:cs="Arial"/>
          <w:color w:val="000000"/>
          <w:lang w:val="fr-FR"/>
        </w:rPr>
      </w:pPr>
    </w:p>
    <w:p w:rsidR="00CE0C3C" w:rsidRPr="008A292F" w:rsidRDefault="00CE0C3C" w:rsidP="000B0365">
      <w:pPr>
        <w:pStyle w:val="Sansinterligne"/>
        <w:jc w:val="both"/>
        <w:rPr>
          <w:rFonts w:ascii="Arial" w:hAnsi="Arial" w:cs="Arial"/>
          <w:b/>
          <w:noProof/>
          <w:sz w:val="22"/>
          <w:szCs w:val="22"/>
          <w:lang w:val="fr-FR"/>
        </w:rPr>
      </w:pPr>
      <w:r w:rsidRPr="008A292F">
        <w:rPr>
          <w:rFonts w:ascii="Arial" w:hAnsi="Arial" w:cs="Arial"/>
          <w:sz w:val="22"/>
          <w:szCs w:val="22"/>
          <w:lang w:val="fr-FR"/>
        </w:rPr>
        <w:t>Les parties de la Directive les plus innovatrices sont tout d’abord celles qui viennent exiger des établissements de crédit et des entreprises d’investissement concerné</w:t>
      </w:r>
      <w:r w:rsidR="00505367">
        <w:rPr>
          <w:rFonts w:ascii="Arial" w:hAnsi="Arial" w:cs="Arial"/>
          <w:sz w:val="22"/>
          <w:szCs w:val="22"/>
          <w:lang w:val="fr-FR"/>
        </w:rPr>
        <w:t>e</w:t>
      </w:r>
      <w:r w:rsidRPr="008A292F">
        <w:rPr>
          <w:rFonts w:ascii="Arial" w:hAnsi="Arial" w:cs="Arial"/>
          <w:sz w:val="22"/>
          <w:szCs w:val="22"/>
          <w:lang w:val="fr-FR"/>
        </w:rPr>
        <w:t xml:space="preserve">s qu’ils détiennent, en sus des exigences de fonds propres, des coussins de fonds propres. Il s’agit d’une nouvelle gamme d’outils de surveillance prudentielle, y compris de nature macroprudentielle, introduite par le chapitre 5 nouveau de la partie III de la loi du 5 avril 1993 relative au secteur financier. La Directive prévoit par ailleurs des modifications en matière de sanctions pécuniaires administratives, qui sont rendues plus dissuasives, et </w:t>
      </w:r>
      <w:r w:rsidR="00505367">
        <w:rPr>
          <w:rFonts w:ascii="Arial" w:hAnsi="Arial" w:cs="Arial"/>
          <w:sz w:val="22"/>
          <w:szCs w:val="22"/>
          <w:lang w:val="fr-FR"/>
        </w:rPr>
        <w:t>d’</w:t>
      </w:r>
      <w:r w:rsidRPr="008A292F">
        <w:rPr>
          <w:rFonts w:ascii="Arial" w:hAnsi="Arial" w:cs="Arial"/>
          <w:sz w:val="22"/>
          <w:szCs w:val="22"/>
          <w:lang w:val="fr-FR"/>
        </w:rPr>
        <w:t>autres mesures administratives. La Directive renforce les exigences en matière de gouvernance dans le secteur financier, afin de prévenir les répercussions que des systèmes de gouvernance d’entreprise mal conçus p</w:t>
      </w:r>
      <w:r w:rsidR="00505367">
        <w:rPr>
          <w:rFonts w:ascii="Arial" w:hAnsi="Arial" w:cs="Arial"/>
          <w:sz w:val="22"/>
          <w:szCs w:val="22"/>
          <w:lang w:val="fr-FR"/>
        </w:rPr>
        <w:t>ourraient</w:t>
      </w:r>
      <w:r w:rsidRPr="008A292F">
        <w:rPr>
          <w:rFonts w:ascii="Arial" w:hAnsi="Arial" w:cs="Arial"/>
          <w:sz w:val="22"/>
          <w:szCs w:val="22"/>
          <w:lang w:val="fr-FR"/>
        </w:rPr>
        <w:t xml:space="preserve"> avoir sur la saine gestion des risques au niveau des établissements concernés. Il convient aussi de relever certaines dispositions nouvellement introduites en matière de politiques de rémunération</w:t>
      </w:r>
      <w:r w:rsidR="00505367">
        <w:rPr>
          <w:rFonts w:ascii="Arial" w:hAnsi="Arial" w:cs="Arial"/>
          <w:sz w:val="22"/>
          <w:szCs w:val="22"/>
          <w:lang w:val="fr-FR"/>
        </w:rPr>
        <w:t>,</w:t>
      </w:r>
      <w:r w:rsidRPr="008A292F">
        <w:rPr>
          <w:rFonts w:ascii="Arial" w:hAnsi="Arial" w:cs="Arial"/>
          <w:sz w:val="22"/>
          <w:szCs w:val="22"/>
          <w:lang w:val="fr-FR"/>
        </w:rPr>
        <w:t xml:space="preserve"> ainsi que des adaptations du champ d’application de la Directive, plus particulièrement en ce qui concerne les entreprises d’investissement. </w:t>
      </w:r>
    </w:p>
    <w:sectPr w:rsidR="00CE0C3C" w:rsidRPr="008A292F" w:rsidSect="006709C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96F" w:rsidRDefault="0006696F" w:rsidP="00AA5D0A">
      <w:pPr>
        <w:spacing w:after="0" w:line="240" w:lineRule="auto"/>
      </w:pPr>
      <w:r>
        <w:separator/>
      </w:r>
    </w:p>
  </w:endnote>
  <w:endnote w:type="continuationSeparator" w:id="0">
    <w:p w:rsidR="0006696F" w:rsidRDefault="0006696F" w:rsidP="00AA5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20007A87" w:usb1="80000000" w:usb2="00000008"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D0A" w:rsidRPr="00AA5D0A" w:rsidRDefault="00AA5D0A">
    <w:pPr>
      <w:pStyle w:val="Pieddepage"/>
      <w:jc w:val="center"/>
      <w:rPr>
        <w:rFonts w:ascii="Arial" w:hAnsi="Arial" w:cs="Arial"/>
        <w:sz w:val="20"/>
        <w:szCs w:val="20"/>
      </w:rPr>
    </w:pPr>
    <w:r w:rsidRPr="00AA5D0A">
      <w:rPr>
        <w:rFonts w:ascii="Arial" w:hAnsi="Arial" w:cs="Arial"/>
        <w:sz w:val="20"/>
        <w:szCs w:val="20"/>
      </w:rPr>
      <w:fldChar w:fldCharType="begin"/>
    </w:r>
    <w:r w:rsidRPr="00AA5D0A">
      <w:rPr>
        <w:rFonts w:ascii="Arial" w:hAnsi="Arial" w:cs="Arial"/>
        <w:sz w:val="20"/>
        <w:szCs w:val="20"/>
      </w:rPr>
      <w:instrText xml:space="preserve"> PAGE   \* MERGEFORMAT </w:instrText>
    </w:r>
    <w:r w:rsidRPr="00AA5D0A">
      <w:rPr>
        <w:rFonts w:ascii="Arial" w:hAnsi="Arial" w:cs="Arial"/>
        <w:sz w:val="20"/>
        <w:szCs w:val="20"/>
      </w:rPr>
      <w:fldChar w:fldCharType="separate"/>
    </w:r>
    <w:r w:rsidR="00AD2C47">
      <w:rPr>
        <w:rFonts w:ascii="Arial" w:hAnsi="Arial" w:cs="Arial"/>
        <w:noProof/>
        <w:sz w:val="20"/>
        <w:szCs w:val="20"/>
      </w:rPr>
      <w:t>1</w:t>
    </w:r>
    <w:r w:rsidRPr="00AA5D0A">
      <w:rPr>
        <w:rFonts w:ascii="Arial" w:hAnsi="Arial" w:cs="Arial"/>
        <w:sz w:val="20"/>
        <w:szCs w:val="20"/>
      </w:rPr>
      <w:fldChar w:fldCharType="end"/>
    </w:r>
  </w:p>
  <w:p w:rsidR="00AA5D0A" w:rsidRDefault="00AA5D0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96F" w:rsidRDefault="0006696F" w:rsidP="00AA5D0A">
      <w:pPr>
        <w:spacing w:after="0" w:line="240" w:lineRule="auto"/>
      </w:pPr>
      <w:r>
        <w:separator/>
      </w:r>
    </w:p>
  </w:footnote>
  <w:footnote w:type="continuationSeparator" w:id="0">
    <w:p w:rsidR="0006696F" w:rsidRDefault="0006696F" w:rsidP="00AA5D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0C4A"/>
    <w:multiLevelType w:val="hybridMultilevel"/>
    <w:tmpl w:val="7B3E75A8"/>
    <w:lvl w:ilvl="0" w:tplc="474CC682">
      <w:start w:val="1"/>
      <w:numFmt w:val="lowerRoman"/>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3CB1999"/>
    <w:multiLevelType w:val="hybridMultilevel"/>
    <w:tmpl w:val="1508458C"/>
    <w:lvl w:ilvl="0" w:tplc="867A8D2C">
      <w:start w:val="1"/>
      <w:numFmt w:val="lowerLetter"/>
      <w:lvlText w:val="%1)"/>
      <w:lvlJc w:val="left"/>
      <w:pPr>
        <w:ind w:left="1065" w:hanging="360"/>
      </w:pPr>
      <w:rPr>
        <w:rFonts w:ascii="Times New Roman" w:hAnsi="Times New Roman" w:cs="Times New Roman" w:hint="default"/>
        <w:sz w:val="20"/>
        <w:szCs w:val="20"/>
      </w:rPr>
    </w:lvl>
    <w:lvl w:ilvl="1" w:tplc="100C0019" w:tentative="1">
      <w:start w:val="1"/>
      <w:numFmt w:val="lowerLetter"/>
      <w:lvlText w:val="%2."/>
      <w:lvlJc w:val="left"/>
      <w:pPr>
        <w:ind w:left="1785" w:hanging="360"/>
      </w:pPr>
    </w:lvl>
    <w:lvl w:ilvl="2" w:tplc="100C001B" w:tentative="1">
      <w:start w:val="1"/>
      <w:numFmt w:val="lowerRoman"/>
      <w:lvlText w:val="%3."/>
      <w:lvlJc w:val="right"/>
      <w:pPr>
        <w:ind w:left="2505" w:hanging="180"/>
      </w:pPr>
    </w:lvl>
    <w:lvl w:ilvl="3" w:tplc="100C000F" w:tentative="1">
      <w:start w:val="1"/>
      <w:numFmt w:val="decimal"/>
      <w:lvlText w:val="%4."/>
      <w:lvlJc w:val="left"/>
      <w:pPr>
        <w:ind w:left="3225" w:hanging="360"/>
      </w:pPr>
    </w:lvl>
    <w:lvl w:ilvl="4" w:tplc="100C0019" w:tentative="1">
      <w:start w:val="1"/>
      <w:numFmt w:val="lowerLetter"/>
      <w:lvlText w:val="%5."/>
      <w:lvlJc w:val="left"/>
      <w:pPr>
        <w:ind w:left="3945" w:hanging="360"/>
      </w:pPr>
    </w:lvl>
    <w:lvl w:ilvl="5" w:tplc="100C001B" w:tentative="1">
      <w:start w:val="1"/>
      <w:numFmt w:val="lowerRoman"/>
      <w:lvlText w:val="%6."/>
      <w:lvlJc w:val="right"/>
      <w:pPr>
        <w:ind w:left="4665" w:hanging="180"/>
      </w:pPr>
    </w:lvl>
    <w:lvl w:ilvl="6" w:tplc="100C000F" w:tentative="1">
      <w:start w:val="1"/>
      <w:numFmt w:val="decimal"/>
      <w:lvlText w:val="%7."/>
      <w:lvlJc w:val="left"/>
      <w:pPr>
        <w:ind w:left="5385" w:hanging="360"/>
      </w:pPr>
    </w:lvl>
    <w:lvl w:ilvl="7" w:tplc="100C0019" w:tentative="1">
      <w:start w:val="1"/>
      <w:numFmt w:val="lowerLetter"/>
      <w:lvlText w:val="%8."/>
      <w:lvlJc w:val="left"/>
      <w:pPr>
        <w:ind w:left="6105" w:hanging="360"/>
      </w:pPr>
    </w:lvl>
    <w:lvl w:ilvl="8" w:tplc="100C001B" w:tentative="1">
      <w:start w:val="1"/>
      <w:numFmt w:val="lowerRoman"/>
      <w:lvlText w:val="%9."/>
      <w:lvlJc w:val="right"/>
      <w:pPr>
        <w:ind w:left="6825" w:hanging="180"/>
      </w:pPr>
    </w:lvl>
  </w:abstractNum>
  <w:abstractNum w:abstractNumId="2" w15:restartNumberingAfterBreak="0">
    <w:nsid w:val="1C09415D"/>
    <w:multiLevelType w:val="hybridMultilevel"/>
    <w:tmpl w:val="A216C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02CE6"/>
    <w:multiLevelType w:val="hybridMultilevel"/>
    <w:tmpl w:val="96244E42"/>
    <w:lvl w:ilvl="0" w:tplc="735ACB2A">
      <w:numFmt w:val="bullet"/>
      <w:lvlText w:val="-"/>
      <w:lvlJc w:val="left"/>
      <w:pPr>
        <w:ind w:left="2484" w:hanging="360"/>
      </w:pPr>
      <w:rPr>
        <w:rFonts w:ascii="Times New Roman" w:eastAsia="Times New Roman" w:hAnsi="Times New Roman" w:cs="Times New Roman" w:hint="default"/>
      </w:rPr>
    </w:lvl>
    <w:lvl w:ilvl="1" w:tplc="04090003">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4" w15:restartNumberingAfterBreak="0">
    <w:nsid w:val="257951EA"/>
    <w:multiLevelType w:val="hybridMultilevel"/>
    <w:tmpl w:val="87D6C770"/>
    <w:lvl w:ilvl="0" w:tplc="2D8CA032">
      <w:start w:val="12"/>
      <w:numFmt w:val="bullet"/>
      <w:lvlText w:val="-"/>
      <w:lvlJc w:val="left"/>
      <w:pPr>
        <w:ind w:left="720" w:hanging="360"/>
      </w:pPr>
      <w:rPr>
        <w:rFonts w:ascii="Calibri" w:eastAsia="Calibri" w:hAnsi="Calibri" w:cs="Times New Roman" w:hint="default"/>
      </w:rPr>
    </w:lvl>
    <w:lvl w:ilvl="1" w:tplc="2D8CA032">
      <w:start w:val="12"/>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2677B0"/>
    <w:multiLevelType w:val="hybridMultilevel"/>
    <w:tmpl w:val="FDB4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82419D"/>
    <w:multiLevelType w:val="hybridMultilevel"/>
    <w:tmpl w:val="A9A21E04"/>
    <w:lvl w:ilvl="0" w:tplc="E6F4DB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544E"/>
    <w:rsid w:val="00007FE8"/>
    <w:rsid w:val="00011002"/>
    <w:rsid w:val="00014D74"/>
    <w:rsid w:val="00014E0F"/>
    <w:rsid w:val="00024FC8"/>
    <w:rsid w:val="00031A75"/>
    <w:rsid w:val="00050E5B"/>
    <w:rsid w:val="0006696F"/>
    <w:rsid w:val="000744B0"/>
    <w:rsid w:val="0007484A"/>
    <w:rsid w:val="00084A8E"/>
    <w:rsid w:val="00091C03"/>
    <w:rsid w:val="00092992"/>
    <w:rsid w:val="000A05DD"/>
    <w:rsid w:val="000A66FB"/>
    <w:rsid w:val="000B0365"/>
    <w:rsid w:val="000B48CD"/>
    <w:rsid w:val="000C450A"/>
    <w:rsid w:val="000E0110"/>
    <w:rsid w:val="00100442"/>
    <w:rsid w:val="00116140"/>
    <w:rsid w:val="001412E6"/>
    <w:rsid w:val="00147A84"/>
    <w:rsid w:val="0016465F"/>
    <w:rsid w:val="001A2349"/>
    <w:rsid w:val="001B58BD"/>
    <w:rsid w:val="001D7E9A"/>
    <w:rsid w:val="001E4805"/>
    <w:rsid w:val="001E58A9"/>
    <w:rsid w:val="00212457"/>
    <w:rsid w:val="00213E6A"/>
    <w:rsid w:val="00233009"/>
    <w:rsid w:val="0027650D"/>
    <w:rsid w:val="002819E3"/>
    <w:rsid w:val="00290881"/>
    <w:rsid w:val="00291712"/>
    <w:rsid w:val="00293895"/>
    <w:rsid w:val="002A11A2"/>
    <w:rsid w:val="002B42F0"/>
    <w:rsid w:val="002C1441"/>
    <w:rsid w:val="002D1656"/>
    <w:rsid w:val="002E171B"/>
    <w:rsid w:val="002F01E3"/>
    <w:rsid w:val="002F7E24"/>
    <w:rsid w:val="0031011B"/>
    <w:rsid w:val="00331FEF"/>
    <w:rsid w:val="00351C45"/>
    <w:rsid w:val="003524FE"/>
    <w:rsid w:val="00370524"/>
    <w:rsid w:val="003705A2"/>
    <w:rsid w:val="00373CDF"/>
    <w:rsid w:val="00373E71"/>
    <w:rsid w:val="003A0AE4"/>
    <w:rsid w:val="003B21F4"/>
    <w:rsid w:val="003B6DC8"/>
    <w:rsid w:val="003C41F3"/>
    <w:rsid w:val="003E497F"/>
    <w:rsid w:val="003E7872"/>
    <w:rsid w:val="003F0EAA"/>
    <w:rsid w:val="003F2875"/>
    <w:rsid w:val="003F7D5C"/>
    <w:rsid w:val="00411401"/>
    <w:rsid w:val="00414834"/>
    <w:rsid w:val="00423C79"/>
    <w:rsid w:val="00427377"/>
    <w:rsid w:val="00443DE0"/>
    <w:rsid w:val="0045314B"/>
    <w:rsid w:val="004550C8"/>
    <w:rsid w:val="004557FC"/>
    <w:rsid w:val="004A6B85"/>
    <w:rsid w:val="004B0411"/>
    <w:rsid w:val="004B4153"/>
    <w:rsid w:val="004C2CE8"/>
    <w:rsid w:val="004C3020"/>
    <w:rsid w:val="004E33C7"/>
    <w:rsid w:val="004E7B4A"/>
    <w:rsid w:val="00501E0C"/>
    <w:rsid w:val="00503F59"/>
    <w:rsid w:val="00505367"/>
    <w:rsid w:val="00513FA5"/>
    <w:rsid w:val="00524EA6"/>
    <w:rsid w:val="00545FDA"/>
    <w:rsid w:val="00557995"/>
    <w:rsid w:val="00560D28"/>
    <w:rsid w:val="00575B83"/>
    <w:rsid w:val="00577814"/>
    <w:rsid w:val="00586542"/>
    <w:rsid w:val="005E2BFD"/>
    <w:rsid w:val="005E561A"/>
    <w:rsid w:val="005E6D49"/>
    <w:rsid w:val="005F6826"/>
    <w:rsid w:val="00600448"/>
    <w:rsid w:val="006078F5"/>
    <w:rsid w:val="00622265"/>
    <w:rsid w:val="00622963"/>
    <w:rsid w:val="00657CA1"/>
    <w:rsid w:val="006709CE"/>
    <w:rsid w:val="006A4E4F"/>
    <w:rsid w:val="006A5A53"/>
    <w:rsid w:val="006A7B8E"/>
    <w:rsid w:val="006B060D"/>
    <w:rsid w:val="006B790C"/>
    <w:rsid w:val="006C5C29"/>
    <w:rsid w:val="006C7080"/>
    <w:rsid w:val="006F5A19"/>
    <w:rsid w:val="00711291"/>
    <w:rsid w:val="0073195D"/>
    <w:rsid w:val="007323FD"/>
    <w:rsid w:val="00735FCF"/>
    <w:rsid w:val="0077636E"/>
    <w:rsid w:val="0077763A"/>
    <w:rsid w:val="007973C1"/>
    <w:rsid w:val="007C0C69"/>
    <w:rsid w:val="007F0BF6"/>
    <w:rsid w:val="008078B2"/>
    <w:rsid w:val="00807B5C"/>
    <w:rsid w:val="00834A6F"/>
    <w:rsid w:val="00857746"/>
    <w:rsid w:val="00857C04"/>
    <w:rsid w:val="00863551"/>
    <w:rsid w:val="0086660B"/>
    <w:rsid w:val="00886D54"/>
    <w:rsid w:val="008D3F1E"/>
    <w:rsid w:val="008D67A7"/>
    <w:rsid w:val="008E30C5"/>
    <w:rsid w:val="008E5E0B"/>
    <w:rsid w:val="008E7E1E"/>
    <w:rsid w:val="00906803"/>
    <w:rsid w:val="00925388"/>
    <w:rsid w:val="00931304"/>
    <w:rsid w:val="00940E50"/>
    <w:rsid w:val="00976AD6"/>
    <w:rsid w:val="0099549C"/>
    <w:rsid w:val="009C2229"/>
    <w:rsid w:val="009E0653"/>
    <w:rsid w:val="009F26DF"/>
    <w:rsid w:val="009F51EB"/>
    <w:rsid w:val="00A03968"/>
    <w:rsid w:val="00A11BA8"/>
    <w:rsid w:val="00A12292"/>
    <w:rsid w:val="00A251AF"/>
    <w:rsid w:val="00A416EA"/>
    <w:rsid w:val="00A53A06"/>
    <w:rsid w:val="00A55172"/>
    <w:rsid w:val="00A57C94"/>
    <w:rsid w:val="00A948CC"/>
    <w:rsid w:val="00AA13BF"/>
    <w:rsid w:val="00AA5D0A"/>
    <w:rsid w:val="00AB2AD3"/>
    <w:rsid w:val="00AB5DA1"/>
    <w:rsid w:val="00AB6492"/>
    <w:rsid w:val="00AD2C47"/>
    <w:rsid w:val="00AE47D4"/>
    <w:rsid w:val="00B22854"/>
    <w:rsid w:val="00B33AF4"/>
    <w:rsid w:val="00B43A82"/>
    <w:rsid w:val="00B43FF4"/>
    <w:rsid w:val="00B446BD"/>
    <w:rsid w:val="00B47888"/>
    <w:rsid w:val="00B54593"/>
    <w:rsid w:val="00B67116"/>
    <w:rsid w:val="00B92895"/>
    <w:rsid w:val="00BA4019"/>
    <w:rsid w:val="00BC0DB7"/>
    <w:rsid w:val="00BF3F59"/>
    <w:rsid w:val="00BF4F97"/>
    <w:rsid w:val="00C02BF4"/>
    <w:rsid w:val="00C11234"/>
    <w:rsid w:val="00C324B0"/>
    <w:rsid w:val="00C368B2"/>
    <w:rsid w:val="00C36BA5"/>
    <w:rsid w:val="00C36F59"/>
    <w:rsid w:val="00C4586D"/>
    <w:rsid w:val="00C56CE3"/>
    <w:rsid w:val="00C7538D"/>
    <w:rsid w:val="00C94AAA"/>
    <w:rsid w:val="00CA6FF0"/>
    <w:rsid w:val="00CB45EC"/>
    <w:rsid w:val="00CB6A3E"/>
    <w:rsid w:val="00CC3FFE"/>
    <w:rsid w:val="00CC576B"/>
    <w:rsid w:val="00CD5947"/>
    <w:rsid w:val="00CE0C3C"/>
    <w:rsid w:val="00CF4843"/>
    <w:rsid w:val="00D05FF0"/>
    <w:rsid w:val="00D10187"/>
    <w:rsid w:val="00D1232E"/>
    <w:rsid w:val="00D16EE4"/>
    <w:rsid w:val="00D24E8D"/>
    <w:rsid w:val="00D45BF4"/>
    <w:rsid w:val="00D55005"/>
    <w:rsid w:val="00D71CB5"/>
    <w:rsid w:val="00D749AB"/>
    <w:rsid w:val="00D91A8A"/>
    <w:rsid w:val="00E21AE4"/>
    <w:rsid w:val="00E27CAE"/>
    <w:rsid w:val="00E32A2C"/>
    <w:rsid w:val="00E4004D"/>
    <w:rsid w:val="00E71BB7"/>
    <w:rsid w:val="00E82050"/>
    <w:rsid w:val="00E87887"/>
    <w:rsid w:val="00E93699"/>
    <w:rsid w:val="00EC0A3B"/>
    <w:rsid w:val="00EE6245"/>
    <w:rsid w:val="00EF352F"/>
    <w:rsid w:val="00F214D5"/>
    <w:rsid w:val="00F35C40"/>
    <w:rsid w:val="00F363B7"/>
    <w:rsid w:val="00F63BAB"/>
    <w:rsid w:val="00F65386"/>
    <w:rsid w:val="00F724C1"/>
    <w:rsid w:val="00F7544E"/>
    <w:rsid w:val="00F82143"/>
    <w:rsid w:val="00FC1B0A"/>
    <w:rsid w:val="00FF4D43"/>
    <w:rsid w:val="00FF60C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0C95640-7E83-4E01-99FE-D91DDD850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9CE"/>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11291"/>
    <w:pPr>
      <w:autoSpaceDE w:val="0"/>
      <w:autoSpaceDN w:val="0"/>
      <w:adjustRightInd w:val="0"/>
    </w:pPr>
    <w:rPr>
      <w:rFonts w:ascii="Swis721 BT" w:hAnsi="Swis721 BT" w:cs="Swis721 BT"/>
      <w:color w:val="000000"/>
      <w:sz w:val="24"/>
      <w:szCs w:val="24"/>
    </w:rPr>
  </w:style>
  <w:style w:type="paragraph" w:customStyle="1" w:styleId="Pa4">
    <w:name w:val="Pa4"/>
    <w:basedOn w:val="Default"/>
    <w:next w:val="Default"/>
    <w:uiPriority w:val="99"/>
    <w:rsid w:val="00711291"/>
    <w:pPr>
      <w:spacing w:line="201" w:lineRule="atLeast"/>
    </w:pPr>
    <w:rPr>
      <w:rFonts w:cs="Times New Roman"/>
      <w:color w:val="auto"/>
    </w:rPr>
  </w:style>
  <w:style w:type="paragraph" w:customStyle="1" w:styleId="Pa5">
    <w:name w:val="Pa5"/>
    <w:basedOn w:val="Default"/>
    <w:next w:val="Default"/>
    <w:uiPriority w:val="99"/>
    <w:rsid w:val="00711291"/>
    <w:pPr>
      <w:spacing w:line="201" w:lineRule="atLeast"/>
    </w:pPr>
    <w:rPr>
      <w:rFonts w:cs="Times New Roman"/>
      <w:color w:val="auto"/>
    </w:rPr>
  </w:style>
  <w:style w:type="paragraph" w:customStyle="1" w:styleId="Pa6">
    <w:name w:val="Pa6"/>
    <w:basedOn w:val="Default"/>
    <w:next w:val="Default"/>
    <w:uiPriority w:val="99"/>
    <w:rsid w:val="00711291"/>
    <w:pPr>
      <w:spacing w:line="201" w:lineRule="atLeast"/>
    </w:pPr>
    <w:rPr>
      <w:rFonts w:cs="Times New Roman"/>
      <w:color w:val="auto"/>
    </w:rPr>
  </w:style>
  <w:style w:type="paragraph" w:customStyle="1" w:styleId="Pa7">
    <w:name w:val="Pa7"/>
    <w:basedOn w:val="Default"/>
    <w:next w:val="Default"/>
    <w:uiPriority w:val="99"/>
    <w:rsid w:val="00711291"/>
    <w:pPr>
      <w:spacing w:line="201" w:lineRule="atLeast"/>
    </w:pPr>
    <w:rPr>
      <w:rFonts w:cs="Times New Roman"/>
      <w:color w:val="auto"/>
    </w:rPr>
  </w:style>
  <w:style w:type="paragraph" w:customStyle="1" w:styleId="Pa8">
    <w:name w:val="Pa8"/>
    <w:basedOn w:val="Default"/>
    <w:next w:val="Default"/>
    <w:uiPriority w:val="99"/>
    <w:rsid w:val="00711291"/>
    <w:pPr>
      <w:spacing w:line="201" w:lineRule="atLeast"/>
    </w:pPr>
    <w:rPr>
      <w:rFonts w:cs="Times New Roman"/>
      <w:color w:val="auto"/>
    </w:rPr>
  </w:style>
  <w:style w:type="paragraph" w:customStyle="1" w:styleId="Pa13">
    <w:name w:val="Pa13"/>
    <w:basedOn w:val="Default"/>
    <w:next w:val="Default"/>
    <w:uiPriority w:val="99"/>
    <w:rsid w:val="00CA6FF0"/>
    <w:pPr>
      <w:spacing w:line="221" w:lineRule="atLeast"/>
    </w:pPr>
    <w:rPr>
      <w:rFonts w:cs="Times New Roman"/>
      <w:color w:val="auto"/>
    </w:rPr>
  </w:style>
  <w:style w:type="paragraph" w:customStyle="1" w:styleId="Pa11">
    <w:name w:val="Pa11"/>
    <w:basedOn w:val="Default"/>
    <w:next w:val="Default"/>
    <w:uiPriority w:val="99"/>
    <w:rsid w:val="00CA6FF0"/>
    <w:pPr>
      <w:spacing w:line="201" w:lineRule="atLeast"/>
    </w:pPr>
    <w:rPr>
      <w:rFonts w:cs="Times New Roman"/>
      <w:color w:val="auto"/>
    </w:rPr>
  </w:style>
  <w:style w:type="paragraph" w:customStyle="1" w:styleId="Pa19">
    <w:name w:val="Pa19"/>
    <w:basedOn w:val="Default"/>
    <w:next w:val="Default"/>
    <w:uiPriority w:val="99"/>
    <w:rsid w:val="00CA6FF0"/>
    <w:pPr>
      <w:spacing w:line="201" w:lineRule="atLeast"/>
    </w:pPr>
    <w:rPr>
      <w:rFonts w:cs="Times New Roman"/>
      <w:color w:val="auto"/>
    </w:rPr>
  </w:style>
  <w:style w:type="character" w:customStyle="1" w:styleId="A8">
    <w:name w:val="A8"/>
    <w:uiPriority w:val="99"/>
    <w:rsid w:val="00CA6FF0"/>
    <w:rPr>
      <w:rFonts w:ascii="Times New Roman" w:hAnsi="Times New Roman"/>
      <w:color w:val="000000"/>
      <w:sz w:val="20"/>
      <w:szCs w:val="20"/>
      <w:u w:val="single"/>
    </w:rPr>
  </w:style>
  <w:style w:type="paragraph" w:customStyle="1" w:styleId="Pa20">
    <w:name w:val="Pa20"/>
    <w:basedOn w:val="Default"/>
    <w:next w:val="Default"/>
    <w:uiPriority w:val="99"/>
    <w:rsid w:val="00CA6FF0"/>
    <w:pPr>
      <w:spacing w:line="201" w:lineRule="atLeast"/>
    </w:pPr>
    <w:rPr>
      <w:rFonts w:cs="Times New Roman"/>
      <w:color w:val="auto"/>
    </w:rPr>
  </w:style>
  <w:style w:type="paragraph" w:customStyle="1" w:styleId="Pa21">
    <w:name w:val="Pa21"/>
    <w:basedOn w:val="Default"/>
    <w:next w:val="Default"/>
    <w:uiPriority w:val="99"/>
    <w:rsid w:val="00CA6FF0"/>
    <w:pPr>
      <w:spacing w:line="201" w:lineRule="atLeast"/>
    </w:pPr>
    <w:rPr>
      <w:rFonts w:cs="Times New Roman"/>
      <w:color w:val="auto"/>
    </w:rPr>
  </w:style>
  <w:style w:type="paragraph" w:customStyle="1" w:styleId="Pa24">
    <w:name w:val="Pa24"/>
    <w:basedOn w:val="Default"/>
    <w:next w:val="Default"/>
    <w:uiPriority w:val="99"/>
    <w:rsid w:val="00CA6FF0"/>
    <w:pPr>
      <w:spacing w:line="201" w:lineRule="atLeast"/>
    </w:pPr>
    <w:rPr>
      <w:rFonts w:cs="Times New Roman"/>
      <w:color w:val="auto"/>
    </w:rPr>
  </w:style>
  <w:style w:type="paragraph" w:customStyle="1" w:styleId="Pa25">
    <w:name w:val="Pa25"/>
    <w:basedOn w:val="Default"/>
    <w:next w:val="Default"/>
    <w:uiPriority w:val="99"/>
    <w:rsid w:val="00CA6FF0"/>
    <w:pPr>
      <w:spacing w:line="201" w:lineRule="atLeast"/>
    </w:pPr>
    <w:rPr>
      <w:rFonts w:cs="Times New Roman"/>
      <w:color w:val="auto"/>
    </w:rPr>
  </w:style>
  <w:style w:type="paragraph" w:customStyle="1" w:styleId="Pa26">
    <w:name w:val="Pa26"/>
    <w:basedOn w:val="Default"/>
    <w:next w:val="Default"/>
    <w:uiPriority w:val="99"/>
    <w:rsid w:val="00CA6FF0"/>
    <w:pPr>
      <w:spacing w:line="201" w:lineRule="atLeast"/>
    </w:pPr>
    <w:rPr>
      <w:rFonts w:cs="Times New Roman"/>
      <w:color w:val="auto"/>
    </w:rPr>
  </w:style>
  <w:style w:type="paragraph" w:customStyle="1" w:styleId="Pa14">
    <w:name w:val="Pa14"/>
    <w:basedOn w:val="Default"/>
    <w:next w:val="Default"/>
    <w:uiPriority w:val="99"/>
    <w:rsid w:val="00CA6FF0"/>
    <w:pPr>
      <w:spacing w:line="201" w:lineRule="atLeast"/>
    </w:pPr>
    <w:rPr>
      <w:rFonts w:cs="Times New Roman"/>
      <w:color w:val="auto"/>
    </w:rPr>
  </w:style>
  <w:style w:type="paragraph" w:customStyle="1" w:styleId="Pa15">
    <w:name w:val="Pa15"/>
    <w:basedOn w:val="Default"/>
    <w:next w:val="Default"/>
    <w:uiPriority w:val="99"/>
    <w:rsid w:val="00CA6FF0"/>
    <w:pPr>
      <w:spacing w:line="201" w:lineRule="atLeast"/>
    </w:pPr>
    <w:rPr>
      <w:rFonts w:cs="Times New Roman"/>
      <w:color w:val="auto"/>
    </w:rPr>
  </w:style>
  <w:style w:type="paragraph" w:customStyle="1" w:styleId="Pa27">
    <w:name w:val="Pa27"/>
    <w:basedOn w:val="Default"/>
    <w:next w:val="Default"/>
    <w:uiPriority w:val="99"/>
    <w:rsid w:val="00CA6FF0"/>
    <w:pPr>
      <w:spacing w:line="201" w:lineRule="atLeast"/>
    </w:pPr>
    <w:rPr>
      <w:rFonts w:cs="Times New Roman"/>
      <w:color w:val="auto"/>
    </w:rPr>
  </w:style>
  <w:style w:type="paragraph" w:customStyle="1" w:styleId="Pa29">
    <w:name w:val="Pa29"/>
    <w:basedOn w:val="Default"/>
    <w:next w:val="Default"/>
    <w:uiPriority w:val="99"/>
    <w:rsid w:val="00CA6FF0"/>
    <w:pPr>
      <w:spacing w:line="201" w:lineRule="atLeast"/>
    </w:pPr>
    <w:rPr>
      <w:rFonts w:cs="Times New Roman"/>
      <w:color w:val="auto"/>
    </w:rPr>
  </w:style>
  <w:style w:type="paragraph" w:customStyle="1" w:styleId="Pa16">
    <w:name w:val="Pa16"/>
    <w:basedOn w:val="Default"/>
    <w:next w:val="Default"/>
    <w:uiPriority w:val="99"/>
    <w:rsid w:val="00CA6FF0"/>
    <w:pPr>
      <w:spacing w:line="201" w:lineRule="atLeast"/>
    </w:pPr>
    <w:rPr>
      <w:rFonts w:cs="Times New Roman"/>
      <w:color w:val="auto"/>
    </w:rPr>
  </w:style>
  <w:style w:type="paragraph" w:customStyle="1" w:styleId="Pa30">
    <w:name w:val="Pa30"/>
    <w:basedOn w:val="Default"/>
    <w:next w:val="Default"/>
    <w:uiPriority w:val="99"/>
    <w:rsid w:val="00CA6FF0"/>
    <w:pPr>
      <w:spacing w:line="201" w:lineRule="atLeast"/>
    </w:pPr>
    <w:rPr>
      <w:rFonts w:cs="Times New Roman"/>
      <w:color w:val="auto"/>
    </w:rPr>
  </w:style>
  <w:style w:type="paragraph" w:customStyle="1" w:styleId="Pa31">
    <w:name w:val="Pa31"/>
    <w:basedOn w:val="Default"/>
    <w:next w:val="Default"/>
    <w:uiPriority w:val="99"/>
    <w:rsid w:val="00CA6FF0"/>
    <w:pPr>
      <w:spacing w:line="201" w:lineRule="atLeast"/>
    </w:pPr>
    <w:rPr>
      <w:rFonts w:cs="Times New Roman"/>
      <w:color w:val="auto"/>
    </w:rPr>
  </w:style>
  <w:style w:type="paragraph" w:customStyle="1" w:styleId="Pa32">
    <w:name w:val="Pa32"/>
    <w:basedOn w:val="Default"/>
    <w:next w:val="Default"/>
    <w:uiPriority w:val="99"/>
    <w:rsid w:val="00CA6FF0"/>
    <w:pPr>
      <w:spacing w:line="201" w:lineRule="atLeast"/>
    </w:pPr>
    <w:rPr>
      <w:rFonts w:cs="Times New Roman"/>
      <w:color w:val="auto"/>
    </w:rPr>
  </w:style>
  <w:style w:type="paragraph" w:customStyle="1" w:styleId="Pa33">
    <w:name w:val="Pa33"/>
    <w:basedOn w:val="Default"/>
    <w:next w:val="Default"/>
    <w:uiPriority w:val="99"/>
    <w:rsid w:val="00CA6FF0"/>
    <w:pPr>
      <w:spacing w:line="201" w:lineRule="atLeast"/>
    </w:pPr>
    <w:rPr>
      <w:rFonts w:cs="Times New Roman"/>
      <w:color w:val="auto"/>
    </w:rPr>
  </w:style>
  <w:style w:type="paragraph" w:customStyle="1" w:styleId="Pa34">
    <w:name w:val="Pa34"/>
    <w:basedOn w:val="Default"/>
    <w:next w:val="Default"/>
    <w:uiPriority w:val="99"/>
    <w:rsid w:val="00CA6FF0"/>
    <w:pPr>
      <w:spacing w:line="201" w:lineRule="atLeast"/>
    </w:pPr>
    <w:rPr>
      <w:rFonts w:cs="Times New Roman"/>
      <w:color w:val="auto"/>
    </w:rPr>
  </w:style>
  <w:style w:type="paragraph" w:customStyle="1" w:styleId="Pa35">
    <w:name w:val="Pa35"/>
    <w:basedOn w:val="Default"/>
    <w:next w:val="Default"/>
    <w:uiPriority w:val="99"/>
    <w:rsid w:val="00CA6FF0"/>
    <w:pPr>
      <w:spacing w:line="201" w:lineRule="atLeast"/>
    </w:pPr>
    <w:rPr>
      <w:rFonts w:cs="Times New Roman"/>
      <w:color w:val="auto"/>
    </w:rPr>
  </w:style>
  <w:style w:type="character" w:customStyle="1" w:styleId="A3">
    <w:name w:val="A3"/>
    <w:uiPriority w:val="99"/>
    <w:rsid w:val="00CA6FF0"/>
    <w:rPr>
      <w:rFonts w:ascii="Times New Roman" w:hAnsi="Times New Roman"/>
      <w:color w:val="000000"/>
      <w:sz w:val="20"/>
      <w:szCs w:val="20"/>
    </w:rPr>
  </w:style>
  <w:style w:type="paragraph" w:customStyle="1" w:styleId="Pa39">
    <w:name w:val="Pa39"/>
    <w:basedOn w:val="Default"/>
    <w:next w:val="Default"/>
    <w:uiPriority w:val="99"/>
    <w:rsid w:val="00CA6FF0"/>
    <w:pPr>
      <w:spacing w:line="201" w:lineRule="atLeast"/>
    </w:pPr>
    <w:rPr>
      <w:rFonts w:cs="Times New Roman"/>
      <w:color w:val="auto"/>
    </w:rPr>
  </w:style>
  <w:style w:type="paragraph" w:customStyle="1" w:styleId="Pa40">
    <w:name w:val="Pa40"/>
    <w:basedOn w:val="Default"/>
    <w:next w:val="Default"/>
    <w:uiPriority w:val="99"/>
    <w:rsid w:val="00CA6FF0"/>
    <w:pPr>
      <w:spacing w:line="201" w:lineRule="atLeast"/>
    </w:pPr>
    <w:rPr>
      <w:rFonts w:cs="Times New Roman"/>
      <w:color w:val="auto"/>
    </w:rPr>
  </w:style>
  <w:style w:type="paragraph" w:customStyle="1" w:styleId="Pa41">
    <w:name w:val="Pa41"/>
    <w:basedOn w:val="Default"/>
    <w:next w:val="Default"/>
    <w:uiPriority w:val="99"/>
    <w:rsid w:val="00CA6FF0"/>
    <w:pPr>
      <w:spacing w:line="201" w:lineRule="atLeast"/>
    </w:pPr>
    <w:rPr>
      <w:rFonts w:cs="Times New Roman"/>
      <w:color w:val="auto"/>
    </w:rPr>
  </w:style>
  <w:style w:type="paragraph" w:customStyle="1" w:styleId="Pa42">
    <w:name w:val="Pa42"/>
    <w:basedOn w:val="Default"/>
    <w:next w:val="Default"/>
    <w:uiPriority w:val="99"/>
    <w:rsid w:val="00CA6FF0"/>
    <w:pPr>
      <w:spacing w:line="201" w:lineRule="atLeast"/>
    </w:pPr>
    <w:rPr>
      <w:rFonts w:cs="Times New Roman"/>
      <w:color w:val="auto"/>
    </w:rPr>
  </w:style>
  <w:style w:type="paragraph" w:customStyle="1" w:styleId="Pa43">
    <w:name w:val="Pa43"/>
    <w:basedOn w:val="Default"/>
    <w:next w:val="Default"/>
    <w:uiPriority w:val="99"/>
    <w:rsid w:val="00CA6FF0"/>
    <w:pPr>
      <w:spacing w:line="201" w:lineRule="atLeast"/>
    </w:pPr>
    <w:rPr>
      <w:rFonts w:cs="Times New Roman"/>
      <w:color w:val="auto"/>
    </w:rPr>
  </w:style>
  <w:style w:type="paragraph" w:customStyle="1" w:styleId="Pa44">
    <w:name w:val="Pa44"/>
    <w:basedOn w:val="Default"/>
    <w:next w:val="Default"/>
    <w:uiPriority w:val="99"/>
    <w:rsid w:val="00CA6FF0"/>
    <w:pPr>
      <w:spacing w:line="201" w:lineRule="atLeast"/>
    </w:pPr>
    <w:rPr>
      <w:rFonts w:cs="Times New Roman"/>
      <w:color w:val="auto"/>
    </w:rPr>
  </w:style>
  <w:style w:type="paragraph" w:customStyle="1" w:styleId="Pa45">
    <w:name w:val="Pa45"/>
    <w:basedOn w:val="Default"/>
    <w:next w:val="Default"/>
    <w:uiPriority w:val="99"/>
    <w:rsid w:val="00CA6FF0"/>
    <w:pPr>
      <w:spacing w:line="201" w:lineRule="atLeast"/>
    </w:pPr>
    <w:rPr>
      <w:rFonts w:cs="Times New Roman"/>
      <w:color w:val="auto"/>
    </w:rPr>
  </w:style>
  <w:style w:type="paragraph" w:customStyle="1" w:styleId="Pa46">
    <w:name w:val="Pa46"/>
    <w:basedOn w:val="Default"/>
    <w:next w:val="Default"/>
    <w:uiPriority w:val="99"/>
    <w:rsid w:val="00CA6FF0"/>
    <w:pPr>
      <w:spacing w:line="201" w:lineRule="atLeast"/>
    </w:pPr>
    <w:rPr>
      <w:rFonts w:cs="Times New Roman"/>
      <w:color w:val="auto"/>
    </w:rPr>
  </w:style>
  <w:style w:type="paragraph" w:customStyle="1" w:styleId="Pa47">
    <w:name w:val="Pa47"/>
    <w:basedOn w:val="Default"/>
    <w:next w:val="Default"/>
    <w:uiPriority w:val="99"/>
    <w:rsid w:val="00CA6FF0"/>
    <w:pPr>
      <w:spacing w:line="201" w:lineRule="atLeast"/>
    </w:pPr>
    <w:rPr>
      <w:rFonts w:cs="Times New Roman"/>
      <w:color w:val="auto"/>
    </w:rPr>
  </w:style>
  <w:style w:type="paragraph" w:customStyle="1" w:styleId="Pa48">
    <w:name w:val="Pa48"/>
    <w:basedOn w:val="Default"/>
    <w:next w:val="Default"/>
    <w:uiPriority w:val="99"/>
    <w:rsid w:val="00CA6FF0"/>
    <w:pPr>
      <w:spacing w:line="201" w:lineRule="atLeast"/>
    </w:pPr>
    <w:rPr>
      <w:rFonts w:cs="Times New Roman"/>
      <w:color w:val="auto"/>
    </w:rPr>
  </w:style>
  <w:style w:type="paragraph" w:customStyle="1" w:styleId="Pa50">
    <w:name w:val="Pa50"/>
    <w:basedOn w:val="Default"/>
    <w:next w:val="Default"/>
    <w:uiPriority w:val="99"/>
    <w:rsid w:val="00CA6FF0"/>
    <w:pPr>
      <w:spacing w:line="201" w:lineRule="atLeast"/>
    </w:pPr>
    <w:rPr>
      <w:rFonts w:cs="Times New Roman"/>
      <w:color w:val="auto"/>
    </w:rPr>
  </w:style>
  <w:style w:type="paragraph" w:customStyle="1" w:styleId="Pa51">
    <w:name w:val="Pa51"/>
    <w:basedOn w:val="Default"/>
    <w:next w:val="Default"/>
    <w:uiPriority w:val="99"/>
    <w:rsid w:val="00CA6FF0"/>
    <w:pPr>
      <w:spacing w:line="181" w:lineRule="atLeast"/>
    </w:pPr>
    <w:rPr>
      <w:rFonts w:cs="Times New Roman"/>
      <w:color w:val="auto"/>
    </w:rPr>
  </w:style>
  <w:style w:type="paragraph" w:customStyle="1" w:styleId="Pa52">
    <w:name w:val="Pa52"/>
    <w:basedOn w:val="Default"/>
    <w:next w:val="Default"/>
    <w:uiPriority w:val="99"/>
    <w:rsid w:val="00CA6FF0"/>
    <w:pPr>
      <w:spacing w:line="201" w:lineRule="atLeast"/>
    </w:pPr>
    <w:rPr>
      <w:rFonts w:cs="Times New Roman"/>
      <w:color w:val="auto"/>
    </w:rPr>
  </w:style>
  <w:style w:type="paragraph" w:customStyle="1" w:styleId="Pa53">
    <w:name w:val="Pa53"/>
    <w:basedOn w:val="Default"/>
    <w:next w:val="Default"/>
    <w:uiPriority w:val="99"/>
    <w:rsid w:val="00CA6FF0"/>
    <w:pPr>
      <w:spacing w:line="181" w:lineRule="atLeast"/>
    </w:pPr>
    <w:rPr>
      <w:rFonts w:cs="Times New Roman"/>
      <w:color w:val="auto"/>
    </w:rPr>
  </w:style>
  <w:style w:type="character" w:customStyle="1" w:styleId="A13">
    <w:name w:val="A13"/>
    <w:uiPriority w:val="99"/>
    <w:rsid w:val="00CA6FF0"/>
    <w:rPr>
      <w:rFonts w:ascii="Times New Roman" w:hAnsi="Times New Roman"/>
      <w:color w:val="000000"/>
      <w:sz w:val="13"/>
      <w:szCs w:val="13"/>
    </w:rPr>
  </w:style>
  <w:style w:type="paragraph" w:styleId="En-tte">
    <w:name w:val="header"/>
    <w:basedOn w:val="Normal"/>
    <w:link w:val="En-tteCar"/>
    <w:uiPriority w:val="99"/>
    <w:unhideWhenUsed/>
    <w:rsid w:val="00AA5D0A"/>
    <w:pPr>
      <w:tabs>
        <w:tab w:val="center" w:pos="4536"/>
        <w:tab w:val="right" w:pos="9072"/>
      </w:tabs>
    </w:pPr>
    <w:rPr>
      <w:lang w:val="x-none"/>
    </w:rPr>
  </w:style>
  <w:style w:type="character" w:customStyle="1" w:styleId="En-tteCar">
    <w:name w:val="En-tête Car"/>
    <w:link w:val="En-tte"/>
    <w:uiPriority w:val="99"/>
    <w:rsid w:val="00AA5D0A"/>
    <w:rPr>
      <w:sz w:val="22"/>
      <w:szCs w:val="22"/>
      <w:lang w:eastAsia="en-US"/>
    </w:rPr>
  </w:style>
  <w:style w:type="paragraph" w:styleId="Pieddepage">
    <w:name w:val="footer"/>
    <w:basedOn w:val="Normal"/>
    <w:link w:val="PieddepageCar"/>
    <w:uiPriority w:val="99"/>
    <w:unhideWhenUsed/>
    <w:rsid w:val="00AA5D0A"/>
    <w:pPr>
      <w:tabs>
        <w:tab w:val="center" w:pos="4536"/>
        <w:tab w:val="right" w:pos="9072"/>
      </w:tabs>
    </w:pPr>
    <w:rPr>
      <w:lang w:val="x-none"/>
    </w:rPr>
  </w:style>
  <w:style w:type="character" w:customStyle="1" w:styleId="PieddepageCar">
    <w:name w:val="Pied de page Car"/>
    <w:link w:val="Pieddepage"/>
    <w:uiPriority w:val="99"/>
    <w:rsid w:val="00AA5D0A"/>
    <w:rPr>
      <w:sz w:val="22"/>
      <w:szCs w:val="22"/>
      <w:lang w:eastAsia="en-US"/>
    </w:rPr>
  </w:style>
  <w:style w:type="character" w:styleId="Marquedecommentaire">
    <w:name w:val="annotation reference"/>
    <w:uiPriority w:val="99"/>
    <w:semiHidden/>
    <w:unhideWhenUsed/>
    <w:rsid w:val="00092992"/>
    <w:rPr>
      <w:sz w:val="16"/>
      <w:szCs w:val="16"/>
    </w:rPr>
  </w:style>
  <w:style w:type="paragraph" w:styleId="Commentaire">
    <w:name w:val="annotation text"/>
    <w:basedOn w:val="Normal"/>
    <w:link w:val="CommentaireCar"/>
    <w:uiPriority w:val="99"/>
    <w:semiHidden/>
    <w:unhideWhenUsed/>
    <w:rsid w:val="00092992"/>
    <w:rPr>
      <w:sz w:val="20"/>
      <w:szCs w:val="20"/>
    </w:rPr>
  </w:style>
  <w:style w:type="character" w:customStyle="1" w:styleId="CommentaireCar">
    <w:name w:val="Commentaire Car"/>
    <w:link w:val="Commentaire"/>
    <w:uiPriority w:val="99"/>
    <w:semiHidden/>
    <w:rsid w:val="00092992"/>
    <w:rPr>
      <w:lang w:val="fr-LU" w:eastAsia="en-US"/>
    </w:rPr>
  </w:style>
  <w:style w:type="paragraph" w:styleId="Objetducommentaire">
    <w:name w:val="annotation subject"/>
    <w:basedOn w:val="Commentaire"/>
    <w:next w:val="Commentaire"/>
    <w:link w:val="ObjetducommentaireCar"/>
    <w:uiPriority w:val="99"/>
    <w:semiHidden/>
    <w:unhideWhenUsed/>
    <w:rsid w:val="00092992"/>
    <w:rPr>
      <w:b/>
      <w:bCs/>
    </w:rPr>
  </w:style>
  <w:style w:type="character" w:customStyle="1" w:styleId="ObjetducommentaireCar">
    <w:name w:val="Objet du commentaire Car"/>
    <w:link w:val="Objetducommentaire"/>
    <w:uiPriority w:val="99"/>
    <w:semiHidden/>
    <w:rsid w:val="00092992"/>
    <w:rPr>
      <w:b/>
      <w:bCs/>
      <w:lang w:val="fr-LU" w:eastAsia="en-US"/>
    </w:rPr>
  </w:style>
  <w:style w:type="paragraph" w:styleId="Textedebulles">
    <w:name w:val="Balloon Text"/>
    <w:basedOn w:val="Normal"/>
    <w:link w:val="TextedebullesCar"/>
    <w:uiPriority w:val="99"/>
    <w:semiHidden/>
    <w:unhideWhenUsed/>
    <w:rsid w:val="00092992"/>
    <w:pPr>
      <w:spacing w:after="0" w:line="240" w:lineRule="auto"/>
    </w:pPr>
    <w:rPr>
      <w:rFonts w:ascii="Segoe UI" w:hAnsi="Segoe UI"/>
      <w:sz w:val="18"/>
      <w:szCs w:val="18"/>
    </w:rPr>
  </w:style>
  <w:style w:type="character" w:customStyle="1" w:styleId="TextedebullesCar">
    <w:name w:val="Texte de bulles Car"/>
    <w:link w:val="Textedebulles"/>
    <w:uiPriority w:val="99"/>
    <w:semiHidden/>
    <w:rsid w:val="00092992"/>
    <w:rPr>
      <w:rFonts w:ascii="Segoe UI" w:hAnsi="Segoe UI" w:cs="Segoe UI"/>
      <w:sz w:val="18"/>
      <w:szCs w:val="18"/>
      <w:lang w:val="fr-LU" w:eastAsia="en-US"/>
    </w:rPr>
  </w:style>
  <w:style w:type="paragraph" w:customStyle="1" w:styleId="Pa10">
    <w:name w:val="Pa10"/>
    <w:basedOn w:val="Default"/>
    <w:next w:val="Default"/>
    <w:uiPriority w:val="99"/>
    <w:rsid w:val="00CD5947"/>
    <w:pPr>
      <w:spacing w:line="201" w:lineRule="atLeast"/>
    </w:pPr>
    <w:rPr>
      <w:rFonts w:cs="Times New Roman"/>
      <w:color w:val="auto"/>
      <w:lang w:val="en-US" w:eastAsia="en-US"/>
    </w:rPr>
  </w:style>
  <w:style w:type="paragraph" w:styleId="Sansinterligne">
    <w:name w:val="No Spacing"/>
    <w:uiPriority w:val="1"/>
    <w:qFormat/>
    <w:rsid w:val="00CE0C3C"/>
    <w:rPr>
      <w:rFonts w:ascii="Cambria" w:eastAsia="Cambria" w:hAnsi="Cambria"/>
      <w:sz w:val="24"/>
      <w:szCs w:val="24"/>
      <w:lang w:val="de-DE" w:eastAsia="en-US"/>
    </w:rPr>
  </w:style>
  <w:style w:type="character" w:styleId="Numrodepage">
    <w:name w:val="page number"/>
    <w:basedOn w:val="Policepardfaut"/>
    <w:uiPriority w:val="99"/>
    <w:semiHidden/>
    <w:unhideWhenUsed/>
    <w:rsid w:val="00CE0C3C"/>
  </w:style>
  <w:style w:type="paragraph" w:customStyle="1" w:styleId="Pa12">
    <w:name w:val="Pa12"/>
    <w:basedOn w:val="Default"/>
    <w:next w:val="Default"/>
    <w:uiPriority w:val="99"/>
    <w:rsid w:val="00F214D5"/>
    <w:pPr>
      <w:spacing w:line="201" w:lineRule="atLeast"/>
    </w:pPr>
    <w:rPr>
      <w:rFonts w:ascii="Times New Roman" w:hAnsi="Times New Roman" w:cs="Times New Roman"/>
      <w:color w:val="auto"/>
    </w:rPr>
  </w:style>
  <w:style w:type="paragraph" w:customStyle="1" w:styleId="Pa56">
    <w:name w:val="Pa56"/>
    <w:basedOn w:val="Default"/>
    <w:next w:val="Default"/>
    <w:uiPriority w:val="99"/>
    <w:rsid w:val="00F214D5"/>
    <w:pPr>
      <w:spacing w:line="201" w:lineRule="atLeast"/>
    </w:pPr>
    <w:rPr>
      <w:rFonts w:ascii="Times New Roman" w:hAnsi="Times New Roman" w:cs="Times New Roman"/>
      <w:color w:val="auto"/>
    </w:rPr>
  </w:style>
  <w:style w:type="paragraph" w:customStyle="1" w:styleId="BodyText21">
    <w:name w:val="Body Text 21"/>
    <w:basedOn w:val="Normal"/>
    <w:rsid w:val="00F214D5"/>
    <w:pPr>
      <w:widowControl w:val="0"/>
      <w:tabs>
        <w:tab w:val="left" w:pos="0"/>
      </w:tabs>
      <w:suppressAutoHyphens/>
      <w:overflowPunct w:val="0"/>
      <w:autoSpaceDE w:val="0"/>
      <w:autoSpaceDN w:val="0"/>
      <w:adjustRightInd w:val="0"/>
      <w:spacing w:after="0" w:line="240" w:lineRule="auto"/>
      <w:jc w:val="both"/>
      <w:textAlignment w:val="baseline"/>
    </w:pPr>
    <w:rPr>
      <w:rFonts w:ascii="Helvetica" w:eastAsia="Times New Roman" w:hAnsi="Helvetica"/>
      <w:spacing w:val="-3"/>
      <w:sz w:val="20"/>
      <w:szCs w:val="20"/>
      <w:lang w:val="fr-FR" w:eastAsia="fr-FR"/>
    </w:rPr>
  </w:style>
  <w:style w:type="paragraph" w:styleId="Notedebasdepage">
    <w:name w:val="footnote text"/>
    <w:basedOn w:val="Normal"/>
    <w:link w:val="NotedebasdepageCar"/>
    <w:semiHidden/>
    <w:rsid w:val="00F214D5"/>
    <w:pPr>
      <w:spacing w:after="0" w:line="240" w:lineRule="auto"/>
    </w:pPr>
    <w:rPr>
      <w:rFonts w:ascii="Times New Roman" w:eastAsia="Times New Roman" w:hAnsi="Times New Roman"/>
      <w:sz w:val="20"/>
      <w:szCs w:val="20"/>
      <w:lang w:val="fr-FR" w:eastAsia="fr-FR"/>
    </w:rPr>
  </w:style>
  <w:style w:type="character" w:customStyle="1" w:styleId="NotedebasdepageCar">
    <w:name w:val="Note de bas de page Car"/>
    <w:basedOn w:val="Policepardfaut"/>
    <w:link w:val="Notedebasdepage"/>
    <w:semiHidden/>
    <w:rsid w:val="00F214D5"/>
    <w:rPr>
      <w:rFonts w:ascii="Times New Roman" w:eastAsia="Times New Roman" w:hAnsi="Times New Roman"/>
      <w:lang w:val="fr-FR" w:eastAsia="fr-FR"/>
    </w:rPr>
  </w:style>
  <w:style w:type="character" w:styleId="Appelnotedebasdep">
    <w:name w:val="footnote reference"/>
    <w:aliases w:val="Footnote symbol"/>
    <w:semiHidden/>
    <w:rsid w:val="00F214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EDA7B-4C0A-4529-BE48-DC5387908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5265</Characters>
  <Application>Microsoft Office Word</Application>
  <DocSecurity>4</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CTIE</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dc:creator>
  <cp:keywords/>
  <cp:lastModifiedBy>SYSTEM</cp:lastModifiedBy>
  <cp:revision>2</cp:revision>
  <cp:lastPrinted>2015-06-17T12:31:00Z</cp:lastPrinted>
  <dcterms:created xsi:type="dcterms:W3CDTF">2024-02-21T07:50:00Z</dcterms:created>
  <dcterms:modified xsi:type="dcterms:W3CDTF">2024-02-21T07:50:00Z</dcterms:modified>
</cp:coreProperties>
</file>