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FBE" w:rsidRPr="001F1545" w:rsidRDefault="00D25FBE" w:rsidP="00D25FBE">
      <w:pPr>
        <w:tabs>
          <w:tab w:val="left" w:pos="4451"/>
        </w:tabs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  <w:bookmarkStart w:id="0" w:name="_GoBack"/>
      <w:bookmarkEnd w:id="0"/>
      <w:r w:rsidRPr="001F1545">
        <w:rPr>
          <w:rFonts w:cs="Arial"/>
          <w:b/>
          <w:bCs/>
          <w:sz w:val="28"/>
          <w:szCs w:val="28"/>
        </w:rPr>
        <w:t>N° 6</w:t>
      </w:r>
      <w:r>
        <w:rPr>
          <w:rFonts w:cs="Arial"/>
          <w:b/>
          <w:bCs/>
          <w:sz w:val="28"/>
          <w:szCs w:val="28"/>
        </w:rPr>
        <w:t>7</w:t>
      </w:r>
      <w:r w:rsidRPr="001F1545">
        <w:rPr>
          <w:rFonts w:cs="Arial"/>
          <w:b/>
          <w:bCs/>
          <w:sz w:val="28"/>
          <w:szCs w:val="28"/>
        </w:rPr>
        <w:t>2</w:t>
      </w:r>
      <w:r>
        <w:rPr>
          <w:rFonts w:cs="Arial"/>
          <w:b/>
          <w:bCs/>
          <w:sz w:val="28"/>
          <w:szCs w:val="28"/>
        </w:rPr>
        <w:t>8</w:t>
      </w:r>
    </w:p>
    <w:p w:rsidR="00D25FBE" w:rsidRPr="001F1545" w:rsidRDefault="00D25FBE" w:rsidP="00D25FBE">
      <w:pPr>
        <w:autoSpaceDE w:val="0"/>
        <w:autoSpaceDN w:val="0"/>
        <w:adjustRightInd w:val="0"/>
        <w:jc w:val="center"/>
        <w:rPr>
          <w:rFonts w:cs="Arial"/>
          <w:b/>
          <w:bCs/>
          <w:sz w:val="16"/>
          <w:szCs w:val="16"/>
        </w:rPr>
      </w:pPr>
    </w:p>
    <w:p w:rsidR="00D25FBE" w:rsidRPr="001F1545" w:rsidRDefault="00D25FBE" w:rsidP="00D25FBE">
      <w:pPr>
        <w:autoSpaceDE w:val="0"/>
        <w:autoSpaceDN w:val="0"/>
        <w:adjustRightInd w:val="0"/>
        <w:jc w:val="center"/>
        <w:rPr>
          <w:rFonts w:cs="Arial"/>
          <w:bCs/>
          <w:sz w:val="28"/>
          <w:szCs w:val="28"/>
        </w:rPr>
      </w:pPr>
      <w:r w:rsidRPr="001F1545">
        <w:rPr>
          <w:rFonts w:cs="Arial"/>
          <w:bCs/>
          <w:sz w:val="28"/>
          <w:szCs w:val="28"/>
        </w:rPr>
        <w:t>CHAMBRE DES DEPUTES</w:t>
      </w:r>
    </w:p>
    <w:p w:rsidR="00D25FBE" w:rsidRPr="001F1545" w:rsidRDefault="00D25FBE" w:rsidP="00D25FBE">
      <w:pPr>
        <w:autoSpaceDE w:val="0"/>
        <w:autoSpaceDN w:val="0"/>
        <w:adjustRightInd w:val="0"/>
        <w:jc w:val="center"/>
        <w:rPr>
          <w:rFonts w:cs="Arial"/>
          <w:bCs/>
          <w:sz w:val="16"/>
          <w:szCs w:val="16"/>
        </w:rPr>
      </w:pPr>
    </w:p>
    <w:p w:rsidR="00D25FBE" w:rsidRPr="001F1545" w:rsidRDefault="00D25FBE" w:rsidP="00D25FBE">
      <w:pPr>
        <w:autoSpaceDE w:val="0"/>
        <w:autoSpaceDN w:val="0"/>
        <w:adjustRightInd w:val="0"/>
        <w:jc w:val="center"/>
        <w:rPr>
          <w:rFonts w:cs="Arial"/>
          <w:bCs/>
          <w:szCs w:val="20"/>
        </w:rPr>
      </w:pPr>
      <w:r w:rsidRPr="001F1545">
        <w:rPr>
          <w:rFonts w:cs="Arial"/>
          <w:bCs/>
          <w:szCs w:val="20"/>
        </w:rPr>
        <w:t>Session ordinaire 2014-2015</w:t>
      </w:r>
    </w:p>
    <w:p w:rsidR="00D25FBE" w:rsidRPr="001F1545" w:rsidRDefault="00D25FBE" w:rsidP="00D25FBE">
      <w:pPr>
        <w:pBdr>
          <w:bottom w:val="thinThickLargeGap" w:sz="24" w:space="1" w:color="auto"/>
        </w:pBdr>
        <w:autoSpaceDE w:val="0"/>
        <w:autoSpaceDN w:val="0"/>
        <w:adjustRightInd w:val="0"/>
        <w:rPr>
          <w:rFonts w:cs="Arial"/>
          <w:b/>
          <w:bCs/>
          <w:szCs w:val="20"/>
        </w:rPr>
      </w:pPr>
    </w:p>
    <w:p w:rsidR="00D25FBE" w:rsidRPr="001F1545" w:rsidRDefault="00D25FBE" w:rsidP="00D25FBE">
      <w:pPr>
        <w:autoSpaceDE w:val="0"/>
        <w:autoSpaceDN w:val="0"/>
        <w:adjustRightInd w:val="0"/>
        <w:rPr>
          <w:rFonts w:cs="Arial"/>
          <w:b/>
          <w:bCs/>
          <w:szCs w:val="20"/>
        </w:rPr>
      </w:pPr>
    </w:p>
    <w:p w:rsidR="00D25FBE" w:rsidRPr="001F1545" w:rsidRDefault="00D25FBE" w:rsidP="00D25FBE">
      <w:pPr>
        <w:autoSpaceDE w:val="0"/>
        <w:autoSpaceDN w:val="0"/>
        <w:adjustRightInd w:val="0"/>
        <w:jc w:val="center"/>
        <w:rPr>
          <w:rFonts w:cs="Arial"/>
          <w:b/>
          <w:bCs/>
          <w:spacing w:val="76"/>
          <w:sz w:val="36"/>
          <w:szCs w:val="36"/>
        </w:rPr>
      </w:pPr>
      <w:r w:rsidRPr="001F1545">
        <w:rPr>
          <w:rFonts w:cs="Arial"/>
          <w:b/>
          <w:bCs/>
          <w:spacing w:val="76"/>
          <w:sz w:val="36"/>
          <w:szCs w:val="36"/>
        </w:rPr>
        <w:t>PROJET DE LOI</w:t>
      </w:r>
    </w:p>
    <w:p w:rsidR="00D25FBE" w:rsidRPr="001F1545" w:rsidRDefault="00D25FBE" w:rsidP="00D25FBE">
      <w:pPr>
        <w:autoSpaceDE w:val="0"/>
        <w:autoSpaceDN w:val="0"/>
        <w:adjustRightInd w:val="0"/>
        <w:jc w:val="center"/>
        <w:rPr>
          <w:rFonts w:cs="Arial"/>
          <w:b/>
          <w:bCs/>
          <w:szCs w:val="20"/>
        </w:rPr>
      </w:pPr>
    </w:p>
    <w:p w:rsidR="00D25FBE" w:rsidRPr="00E3164E" w:rsidRDefault="00D25FBE" w:rsidP="00D25FBE">
      <w:pPr>
        <w:autoSpaceDE w:val="0"/>
        <w:autoSpaceDN w:val="0"/>
        <w:adjustRightInd w:val="0"/>
        <w:jc w:val="center"/>
        <w:rPr>
          <w:rFonts w:ascii="Swiss721BT-Bold" w:hAnsi="Swiss721BT-Bold" w:cs="Swiss721BT-Bold"/>
          <w:b/>
          <w:bCs/>
          <w:szCs w:val="20"/>
          <w:lang w:eastAsia="lb-LU"/>
        </w:rPr>
      </w:pPr>
      <w:r w:rsidRPr="00E3164E">
        <w:rPr>
          <w:rFonts w:ascii="Swiss721BT-Bold" w:hAnsi="Swiss721BT-Bold" w:cs="Swiss721BT-Bold"/>
          <w:b/>
          <w:bCs/>
          <w:szCs w:val="20"/>
          <w:lang w:eastAsia="lb-LU"/>
        </w:rPr>
        <w:t>portant approbation de l’Accord-cadre global de partenariat et</w:t>
      </w:r>
    </w:p>
    <w:p w:rsidR="00D25FBE" w:rsidRPr="00E3164E" w:rsidRDefault="00D25FBE" w:rsidP="00D25FBE">
      <w:pPr>
        <w:autoSpaceDE w:val="0"/>
        <w:autoSpaceDN w:val="0"/>
        <w:adjustRightInd w:val="0"/>
        <w:jc w:val="center"/>
        <w:rPr>
          <w:rFonts w:ascii="Swiss721BT-Bold" w:hAnsi="Swiss721BT-Bold" w:cs="Swiss721BT-Bold"/>
          <w:b/>
          <w:bCs/>
          <w:szCs w:val="20"/>
          <w:lang w:eastAsia="lb-LU"/>
        </w:rPr>
      </w:pPr>
      <w:r w:rsidRPr="00E3164E">
        <w:rPr>
          <w:rFonts w:ascii="Swiss721BT-Bold" w:hAnsi="Swiss721BT-Bold" w:cs="Swiss721BT-Bold"/>
          <w:b/>
          <w:bCs/>
          <w:szCs w:val="20"/>
          <w:lang w:eastAsia="lb-LU"/>
        </w:rPr>
        <w:t>de coopération entre l’Union européenne et ses Etats membres,</w:t>
      </w:r>
    </w:p>
    <w:p w:rsidR="00D25FBE" w:rsidRPr="00E3164E" w:rsidRDefault="00D25FBE" w:rsidP="00D25FBE">
      <w:pPr>
        <w:autoSpaceDE w:val="0"/>
        <w:autoSpaceDN w:val="0"/>
        <w:adjustRightInd w:val="0"/>
        <w:jc w:val="center"/>
        <w:rPr>
          <w:rFonts w:ascii="Swiss721BT-Bold" w:hAnsi="Swiss721BT-Bold" w:cs="Swiss721BT-Bold"/>
          <w:b/>
          <w:bCs/>
          <w:szCs w:val="20"/>
          <w:lang w:eastAsia="lb-LU"/>
        </w:rPr>
      </w:pPr>
      <w:r w:rsidRPr="00E3164E">
        <w:rPr>
          <w:rFonts w:ascii="Swiss721BT-Bold" w:hAnsi="Swiss721BT-Bold" w:cs="Swiss721BT-Bold"/>
          <w:b/>
          <w:bCs/>
          <w:szCs w:val="20"/>
          <w:lang w:eastAsia="lb-LU"/>
        </w:rPr>
        <w:t>d’une part, et la Mongolie, d’autre part, signé à Oulan-Bator</w:t>
      </w:r>
    </w:p>
    <w:p w:rsidR="00D25FBE" w:rsidRDefault="00D25FBE" w:rsidP="00D25FBE">
      <w:pPr>
        <w:autoSpaceDE w:val="0"/>
        <w:autoSpaceDN w:val="0"/>
        <w:adjustRightInd w:val="0"/>
        <w:jc w:val="center"/>
        <w:rPr>
          <w:rFonts w:ascii="Swiss721BT-Bold" w:hAnsi="Swiss721BT-Bold" w:cs="Swiss721BT-Bold"/>
          <w:b/>
          <w:bCs/>
          <w:szCs w:val="20"/>
          <w:lang w:eastAsia="lb-LU"/>
        </w:rPr>
      </w:pPr>
      <w:r w:rsidRPr="00E3164E">
        <w:rPr>
          <w:rFonts w:ascii="Swiss721BT-Bold" w:hAnsi="Swiss721BT-Bold" w:cs="Swiss721BT-Bold"/>
          <w:b/>
          <w:bCs/>
          <w:szCs w:val="20"/>
          <w:lang w:eastAsia="lb-LU"/>
        </w:rPr>
        <w:t xml:space="preserve">(Mongolie) </w:t>
      </w:r>
      <w:r>
        <w:rPr>
          <w:rFonts w:ascii="Swiss721BT-Bold" w:hAnsi="Swiss721BT-Bold" w:cs="Swiss721BT-Bold"/>
          <w:b/>
          <w:bCs/>
          <w:szCs w:val="20"/>
          <w:lang w:eastAsia="lb-LU"/>
        </w:rPr>
        <w:t xml:space="preserve">le </w:t>
      </w:r>
      <w:r w:rsidRPr="00E3164E">
        <w:rPr>
          <w:rFonts w:ascii="Swiss721BT-Bold" w:hAnsi="Swiss721BT-Bold" w:cs="Swiss721BT-Bold"/>
          <w:b/>
          <w:bCs/>
          <w:szCs w:val="20"/>
          <w:lang w:eastAsia="lb-LU"/>
        </w:rPr>
        <w:t>30 avril 2013</w:t>
      </w:r>
    </w:p>
    <w:p w:rsidR="00CC23D9" w:rsidRDefault="00CC23D9"/>
    <w:p w:rsidR="00D25FBE" w:rsidRDefault="00D25FBE"/>
    <w:p w:rsidR="00D25FBE" w:rsidRPr="00D25FBE" w:rsidRDefault="00D25FBE" w:rsidP="00D25FBE">
      <w:pPr>
        <w:jc w:val="center"/>
        <w:rPr>
          <w:b/>
        </w:rPr>
      </w:pPr>
      <w:r w:rsidRPr="00D25FBE">
        <w:rPr>
          <w:b/>
        </w:rPr>
        <w:t>RESUME</w:t>
      </w:r>
    </w:p>
    <w:p w:rsidR="00D25FBE" w:rsidRDefault="00D25FBE"/>
    <w:p w:rsidR="00D25FBE" w:rsidRPr="00852E08" w:rsidRDefault="00D25FBE" w:rsidP="00D25FBE">
      <w:pPr>
        <w:autoSpaceDE w:val="0"/>
        <w:autoSpaceDN w:val="0"/>
        <w:adjustRightInd w:val="0"/>
        <w:spacing w:after="120"/>
        <w:rPr>
          <w:rFonts w:cs="Arial"/>
          <w:sz w:val="22"/>
          <w:szCs w:val="22"/>
        </w:rPr>
      </w:pPr>
      <w:r w:rsidRPr="00852E08">
        <w:rPr>
          <w:rFonts w:cs="Arial"/>
          <w:sz w:val="22"/>
          <w:szCs w:val="22"/>
        </w:rPr>
        <w:t xml:space="preserve">En juillet 2009, le Conseil </w:t>
      </w:r>
      <w:r>
        <w:rPr>
          <w:rFonts w:cs="Arial"/>
          <w:sz w:val="22"/>
          <w:szCs w:val="22"/>
        </w:rPr>
        <w:t xml:space="preserve">de l’Union européenne </w:t>
      </w:r>
      <w:r w:rsidRPr="00852E08">
        <w:rPr>
          <w:rFonts w:cs="Arial"/>
          <w:sz w:val="22"/>
          <w:szCs w:val="22"/>
        </w:rPr>
        <w:t>a autorisé la Commission européenne à négocier un nouvel accord-cadre</w:t>
      </w:r>
      <w:r>
        <w:rPr>
          <w:rFonts w:cs="Arial"/>
          <w:sz w:val="22"/>
          <w:szCs w:val="22"/>
        </w:rPr>
        <w:t xml:space="preserve"> </w:t>
      </w:r>
      <w:r w:rsidRPr="00852E08">
        <w:rPr>
          <w:rFonts w:cs="Arial"/>
          <w:sz w:val="22"/>
          <w:szCs w:val="22"/>
        </w:rPr>
        <w:t>global de partenariat et de coopération avec la Mongolie. Les négociations en vue de cet accord-cadre</w:t>
      </w:r>
      <w:r>
        <w:rPr>
          <w:rFonts w:cs="Arial"/>
          <w:sz w:val="22"/>
          <w:szCs w:val="22"/>
        </w:rPr>
        <w:t xml:space="preserve"> </w:t>
      </w:r>
      <w:r w:rsidRPr="00852E08">
        <w:rPr>
          <w:rFonts w:cs="Arial"/>
          <w:sz w:val="22"/>
          <w:szCs w:val="22"/>
        </w:rPr>
        <w:t>ont été ouvertes en janvier 2010 et conclues avec succès en octobre 2010. L’accord-cadre a été signé</w:t>
      </w:r>
      <w:r>
        <w:rPr>
          <w:rFonts w:cs="Arial"/>
          <w:sz w:val="22"/>
          <w:szCs w:val="22"/>
        </w:rPr>
        <w:t xml:space="preserve"> </w:t>
      </w:r>
      <w:r w:rsidRPr="00852E08">
        <w:rPr>
          <w:rFonts w:cs="Arial"/>
          <w:sz w:val="22"/>
          <w:szCs w:val="22"/>
        </w:rPr>
        <w:t>à Oulan-Bator, le 30 avril 2013.</w:t>
      </w:r>
    </w:p>
    <w:p w:rsidR="00D25FBE" w:rsidRPr="00852E08" w:rsidRDefault="00D25FBE" w:rsidP="00D25FBE">
      <w:pPr>
        <w:autoSpaceDE w:val="0"/>
        <w:autoSpaceDN w:val="0"/>
        <w:adjustRightInd w:val="0"/>
        <w:spacing w:after="120"/>
        <w:rPr>
          <w:rFonts w:cs="Arial"/>
          <w:sz w:val="22"/>
          <w:szCs w:val="22"/>
        </w:rPr>
      </w:pPr>
      <w:r w:rsidRPr="00852E08">
        <w:rPr>
          <w:rFonts w:cs="Arial"/>
          <w:sz w:val="22"/>
          <w:szCs w:val="22"/>
        </w:rPr>
        <w:t>La Mongolie reste un pays pauvre avec une économie modeste (PIB en 2013</w:t>
      </w:r>
      <w:r>
        <w:rPr>
          <w:rFonts w:cs="Arial"/>
          <w:sz w:val="22"/>
          <w:szCs w:val="22"/>
        </w:rPr>
        <w:t> :</w:t>
      </w:r>
      <w:r w:rsidRPr="00852E08">
        <w:rPr>
          <w:rFonts w:cs="Arial"/>
          <w:sz w:val="22"/>
          <w:szCs w:val="22"/>
        </w:rPr>
        <w:t xml:space="preserve"> 11,1 milliards </w:t>
      </w:r>
      <w:r>
        <w:rPr>
          <w:rFonts w:cs="Arial"/>
          <w:sz w:val="22"/>
          <w:szCs w:val="22"/>
        </w:rPr>
        <w:t>de dollars américains</w:t>
      </w:r>
      <w:r w:rsidRPr="00852E08">
        <w:rPr>
          <w:rFonts w:cs="Arial"/>
          <w:sz w:val="22"/>
          <w:szCs w:val="22"/>
        </w:rPr>
        <w:t>).</w:t>
      </w:r>
      <w:r>
        <w:rPr>
          <w:rFonts w:cs="Arial"/>
          <w:sz w:val="22"/>
          <w:szCs w:val="22"/>
        </w:rPr>
        <w:t xml:space="preserve"> </w:t>
      </w:r>
      <w:r w:rsidRPr="00852E08">
        <w:rPr>
          <w:rFonts w:cs="Arial"/>
          <w:sz w:val="22"/>
          <w:szCs w:val="22"/>
        </w:rPr>
        <w:t xml:space="preserve">L’économie mongole dispose toutefois de nombreux atouts (richesse </w:t>
      </w:r>
      <w:r>
        <w:rPr>
          <w:rFonts w:cs="Arial"/>
          <w:sz w:val="22"/>
          <w:szCs w:val="22"/>
        </w:rPr>
        <w:t>en</w:t>
      </w:r>
      <w:r w:rsidRPr="00852E08">
        <w:rPr>
          <w:rFonts w:cs="Arial"/>
          <w:sz w:val="22"/>
          <w:szCs w:val="22"/>
        </w:rPr>
        <w:t xml:space="preserve"> matières premières, cheptel</w:t>
      </w:r>
      <w:r>
        <w:rPr>
          <w:rFonts w:cs="Arial"/>
          <w:sz w:val="22"/>
          <w:szCs w:val="22"/>
        </w:rPr>
        <w:t xml:space="preserve"> </w:t>
      </w:r>
      <w:r w:rsidRPr="00852E08">
        <w:rPr>
          <w:rFonts w:cs="Arial"/>
          <w:sz w:val="22"/>
          <w:szCs w:val="22"/>
        </w:rPr>
        <w:t>important) et plusieurs secteurs (mines, construction, immobilier, télécommunications, agroalimentaire</w:t>
      </w:r>
      <w:r>
        <w:rPr>
          <w:rFonts w:cs="Arial"/>
          <w:sz w:val="22"/>
          <w:szCs w:val="22"/>
        </w:rPr>
        <w:t xml:space="preserve"> </w:t>
      </w:r>
      <w:r w:rsidRPr="00852E08">
        <w:rPr>
          <w:rFonts w:cs="Arial"/>
          <w:sz w:val="22"/>
          <w:szCs w:val="22"/>
        </w:rPr>
        <w:t>et tourisme) recèlent un fort potentiel de développement.</w:t>
      </w:r>
    </w:p>
    <w:p w:rsidR="00D25FBE" w:rsidRPr="00852E08" w:rsidRDefault="00D25FBE" w:rsidP="00D25FBE">
      <w:pPr>
        <w:autoSpaceDE w:val="0"/>
        <w:autoSpaceDN w:val="0"/>
        <w:adjustRightInd w:val="0"/>
        <w:spacing w:after="120"/>
        <w:rPr>
          <w:rFonts w:cs="Arial"/>
          <w:sz w:val="22"/>
          <w:szCs w:val="22"/>
        </w:rPr>
      </w:pPr>
      <w:r w:rsidRPr="00852E08">
        <w:rPr>
          <w:rFonts w:cs="Arial"/>
          <w:sz w:val="22"/>
          <w:szCs w:val="22"/>
        </w:rPr>
        <w:t>La situation d’enclavement de la Mongolie entre la Russie et la Chine continue à orienter son commerce</w:t>
      </w:r>
      <w:r>
        <w:rPr>
          <w:rFonts w:cs="Arial"/>
          <w:sz w:val="22"/>
          <w:szCs w:val="22"/>
        </w:rPr>
        <w:t xml:space="preserve"> </w:t>
      </w:r>
      <w:r w:rsidRPr="00852E08">
        <w:rPr>
          <w:rFonts w:cs="Arial"/>
          <w:sz w:val="22"/>
          <w:szCs w:val="22"/>
        </w:rPr>
        <w:t>extérieur et accentue sa vulnérabilité aux variations des cours des matières premières, ainsi qu’au</w:t>
      </w:r>
      <w:r>
        <w:rPr>
          <w:rFonts w:cs="Arial"/>
          <w:sz w:val="22"/>
          <w:szCs w:val="22"/>
        </w:rPr>
        <w:t xml:space="preserve"> </w:t>
      </w:r>
      <w:r w:rsidRPr="00852E08">
        <w:rPr>
          <w:rFonts w:cs="Arial"/>
          <w:sz w:val="22"/>
          <w:szCs w:val="22"/>
        </w:rPr>
        <w:t>ralentissement de la demande chinoise. Dépendante de la Chine et de la Russie pour plus de trois quarts</w:t>
      </w:r>
      <w:r>
        <w:rPr>
          <w:rFonts w:cs="Arial"/>
          <w:sz w:val="22"/>
          <w:szCs w:val="22"/>
        </w:rPr>
        <w:t xml:space="preserve"> </w:t>
      </w:r>
      <w:r w:rsidRPr="00852E08">
        <w:rPr>
          <w:rFonts w:cs="Arial"/>
          <w:sz w:val="22"/>
          <w:szCs w:val="22"/>
        </w:rPr>
        <w:t>de ses échanges commerciaux, la Mongolie essaie, par le biais de sa politique du „troisième voisin“,</w:t>
      </w:r>
      <w:r>
        <w:rPr>
          <w:rFonts w:cs="Arial"/>
          <w:sz w:val="22"/>
          <w:szCs w:val="22"/>
        </w:rPr>
        <w:t xml:space="preserve"> </w:t>
      </w:r>
      <w:r w:rsidRPr="00852E08">
        <w:rPr>
          <w:rFonts w:cs="Arial"/>
          <w:sz w:val="22"/>
          <w:szCs w:val="22"/>
        </w:rPr>
        <w:t>de diversifier ses partenaires économiques, parmi lesquels figure notamment l’Union européenne.</w:t>
      </w:r>
    </w:p>
    <w:p w:rsidR="00D25FBE" w:rsidRPr="00852E08" w:rsidRDefault="00D25FBE" w:rsidP="00D25FBE">
      <w:pPr>
        <w:autoSpaceDE w:val="0"/>
        <w:autoSpaceDN w:val="0"/>
        <w:adjustRightInd w:val="0"/>
        <w:spacing w:after="120"/>
        <w:rPr>
          <w:rFonts w:cs="Arial"/>
          <w:sz w:val="22"/>
          <w:szCs w:val="22"/>
        </w:rPr>
      </w:pPr>
      <w:r w:rsidRPr="00852E08">
        <w:rPr>
          <w:rFonts w:cs="Arial"/>
          <w:sz w:val="22"/>
          <w:szCs w:val="22"/>
        </w:rPr>
        <w:t xml:space="preserve">L’Union européenne </w:t>
      </w:r>
      <w:r>
        <w:rPr>
          <w:rFonts w:cs="Arial"/>
          <w:sz w:val="22"/>
          <w:szCs w:val="22"/>
        </w:rPr>
        <w:t xml:space="preserve">(UE) </w:t>
      </w:r>
      <w:r w:rsidRPr="00852E08">
        <w:rPr>
          <w:rFonts w:cs="Arial"/>
          <w:sz w:val="22"/>
          <w:szCs w:val="22"/>
        </w:rPr>
        <w:t>est le troisième partenaire commercial de la Mongolie (8,4% des échanges</w:t>
      </w:r>
      <w:r>
        <w:rPr>
          <w:rFonts w:cs="Arial"/>
          <w:sz w:val="22"/>
          <w:szCs w:val="22"/>
        </w:rPr>
        <w:t xml:space="preserve"> </w:t>
      </w:r>
      <w:r w:rsidRPr="00852E08">
        <w:rPr>
          <w:rFonts w:cs="Arial"/>
          <w:sz w:val="22"/>
          <w:szCs w:val="22"/>
        </w:rPr>
        <w:t>extérieurs mongols) et un bailleur de fonds important. Les exportateurs mongols bénéficient d’une</w:t>
      </w:r>
      <w:r>
        <w:rPr>
          <w:rFonts w:cs="Arial"/>
          <w:sz w:val="22"/>
          <w:szCs w:val="22"/>
        </w:rPr>
        <w:t xml:space="preserve"> </w:t>
      </w:r>
      <w:r w:rsidRPr="00852E08">
        <w:rPr>
          <w:rFonts w:cs="Arial"/>
          <w:sz w:val="22"/>
          <w:szCs w:val="22"/>
        </w:rPr>
        <w:t>exonération presque totale des droits de douane lorsqu’ils accèdent au marché de l’UE, grâce au système</w:t>
      </w:r>
      <w:r>
        <w:rPr>
          <w:rFonts w:cs="Arial"/>
          <w:sz w:val="22"/>
          <w:szCs w:val="22"/>
        </w:rPr>
        <w:t xml:space="preserve"> </w:t>
      </w:r>
      <w:r w:rsidRPr="00852E08">
        <w:rPr>
          <w:rFonts w:cs="Arial"/>
          <w:sz w:val="22"/>
          <w:szCs w:val="22"/>
        </w:rPr>
        <w:t>de préférences géné</w:t>
      </w:r>
      <w:r>
        <w:rPr>
          <w:rFonts w:cs="Arial"/>
          <w:sz w:val="22"/>
          <w:szCs w:val="22"/>
        </w:rPr>
        <w:t>ralisées, renouvelé depuis le 1</w:t>
      </w:r>
      <w:r w:rsidRPr="00852E08">
        <w:rPr>
          <w:rFonts w:cs="Arial"/>
          <w:sz w:val="22"/>
          <w:szCs w:val="22"/>
        </w:rPr>
        <w:t>er janvier 2014 (SPG+).</w:t>
      </w:r>
    </w:p>
    <w:p w:rsidR="00D25FBE" w:rsidRPr="00852E08" w:rsidRDefault="00D25FBE" w:rsidP="00D25FBE">
      <w:pPr>
        <w:autoSpaceDE w:val="0"/>
        <w:autoSpaceDN w:val="0"/>
        <w:adjustRightInd w:val="0"/>
        <w:spacing w:after="120"/>
        <w:rPr>
          <w:rFonts w:cs="Arial"/>
          <w:sz w:val="22"/>
          <w:szCs w:val="22"/>
        </w:rPr>
      </w:pPr>
      <w:r w:rsidRPr="00852E08">
        <w:rPr>
          <w:rFonts w:cs="Arial"/>
          <w:sz w:val="22"/>
          <w:szCs w:val="22"/>
        </w:rPr>
        <w:t>La Mongolie est membre de nombreuses enceintes internationales et régionales. Elle entretient des</w:t>
      </w:r>
      <w:r>
        <w:rPr>
          <w:rFonts w:cs="Arial"/>
          <w:sz w:val="22"/>
          <w:szCs w:val="22"/>
        </w:rPr>
        <w:t xml:space="preserve"> </w:t>
      </w:r>
      <w:r w:rsidRPr="00852E08">
        <w:rPr>
          <w:rFonts w:cs="Arial"/>
          <w:sz w:val="22"/>
          <w:szCs w:val="22"/>
        </w:rPr>
        <w:t xml:space="preserve">relations étroites avec le </w:t>
      </w:r>
      <w:r w:rsidRPr="00E51568">
        <w:rPr>
          <w:rFonts w:cs="Arial"/>
          <w:sz w:val="22"/>
          <w:szCs w:val="22"/>
        </w:rPr>
        <w:t>Fonds monétaire international</w:t>
      </w:r>
      <w:r>
        <w:rPr>
          <w:rFonts w:cs="Arial"/>
          <w:sz w:val="22"/>
          <w:szCs w:val="22"/>
        </w:rPr>
        <w:t xml:space="preserve"> (</w:t>
      </w:r>
      <w:r w:rsidRPr="00852E08">
        <w:rPr>
          <w:rFonts w:cs="Arial"/>
          <w:sz w:val="22"/>
          <w:szCs w:val="22"/>
        </w:rPr>
        <w:t>FMI</w:t>
      </w:r>
      <w:r>
        <w:rPr>
          <w:rFonts w:cs="Arial"/>
          <w:sz w:val="22"/>
          <w:szCs w:val="22"/>
        </w:rPr>
        <w:t>)</w:t>
      </w:r>
      <w:r w:rsidRPr="00852E08">
        <w:rPr>
          <w:rFonts w:cs="Arial"/>
          <w:sz w:val="22"/>
          <w:szCs w:val="22"/>
        </w:rPr>
        <w:t xml:space="preserve">, le </w:t>
      </w:r>
      <w:r w:rsidRPr="00E51568">
        <w:rPr>
          <w:rFonts w:cs="Arial"/>
          <w:sz w:val="22"/>
          <w:szCs w:val="22"/>
        </w:rPr>
        <w:t>Programme des Nations Unies pour le développement</w:t>
      </w:r>
      <w:r>
        <w:rPr>
          <w:rFonts w:cs="Arial"/>
          <w:sz w:val="22"/>
          <w:szCs w:val="22"/>
        </w:rPr>
        <w:t xml:space="preserve"> (</w:t>
      </w:r>
      <w:r w:rsidRPr="00852E08">
        <w:rPr>
          <w:rFonts w:cs="Arial"/>
          <w:sz w:val="22"/>
          <w:szCs w:val="22"/>
        </w:rPr>
        <w:t>PNUD</w:t>
      </w:r>
      <w:r>
        <w:rPr>
          <w:rFonts w:cs="Arial"/>
          <w:sz w:val="22"/>
          <w:szCs w:val="22"/>
        </w:rPr>
        <w:t>)</w:t>
      </w:r>
      <w:r w:rsidRPr="00852E08">
        <w:rPr>
          <w:rFonts w:cs="Arial"/>
          <w:sz w:val="22"/>
          <w:szCs w:val="22"/>
        </w:rPr>
        <w:t xml:space="preserve">, la Banque </w:t>
      </w:r>
      <w:r>
        <w:rPr>
          <w:rFonts w:cs="Arial"/>
          <w:sz w:val="22"/>
          <w:szCs w:val="22"/>
        </w:rPr>
        <w:t>m</w:t>
      </w:r>
      <w:r w:rsidRPr="00852E08">
        <w:rPr>
          <w:rFonts w:cs="Arial"/>
          <w:sz w:val="22"/>
          <w:szCs w:val="22"/>
        </w:rPr>
        <w:t>ondiale et la Banque asiatique de développement</w:t>
      </w:r>
      <w:r>
        <w:rPr>
          <w:rFonts w:cs="Arial"/>
          <w:sz w:val="22"/>
          <w:szCs w:val="22"/>
        </w:rPr>
        <w:t xml:space="preserve"> </w:t>
      </w:r>
      <w:r w:rsidRPr="00852E08">
        <w:rPr>
          <w:rFonts w:cs="Arial"/>
          <w:sz w:val="22"/>
          <w:szCs w:val="22"/>
        </w:rPr>
        <w:t xml:space="preserve">pour mener à bien son développement. Elle a aussi adhéré à la Banque </w:t>
      </w:r>
      <w:r>
        <w:rPr>
          <w:rFonts w:cs="Arial"/>
          <w:sz w:val="22"/>
          <w:szCs w:val="22"/>
        </w:rPr>
        <w:t>e</w:t>
      </w:r>
      <w:r w:rsidRPr="00852E08">
        <w:rPr>
          <w:rFonts w:cs="Arial"/>
          <w:sz w:val="22"/>
          <w:szCs w:val="22"/>
        </w:rPr>
        <w:t xml:space="preserve">uropéenne pour la </w:t>
      </w:r>
      <w:r>
        <w:rPr>
          <w:rFonts w:cs="Arial"/>
          <w:sz w:val="22"/>
          <w:szCs w:val="22"/>
        </w:rPr>
        <w:t>r</w:t>
      </w:r>
      <w:r w:rsidRPr="00852E08">
        <w:rPr>
          <w:rFonts w:cs="Arial"/>
          <w:sz w:val="22"/>
          <w:szCs w:val="22"/>
        </w:rPr>
        <w:t>econstruction</w:t>
      </w:r>
      <w:r>
        <w:rPr>
          <w:rFonts w:cs="Arial"/>
          <w:sz w:val="22"/>
          <w:szCs w:val="22"/>
        </w:rPr>
        <w:t xml:space="preserve"> </w:t>
      </w:r>
      <w:r w:rsidRPr="00852E08">
        <w:rPr>
          <w:rFonts w:cs="Arial"/>
          <w:sz w:val="22"/>
          <w:szCs w:val="22"/>
        </w:rPr>
        <w:t xml:space="preserve">et le </w:t>
      </w:r>
      <w:r>
        <w:rPr>
          <w:rFonts w:cs="Arial"/>
          <w:sz w:val="22"/>
          <w:szCs w:val="22"/>
        </w:rPr>
        <w:t>d</w:t>
      </w:r>
      <w:r w:rsidRPr="00852E08">
        <w:rPr>
          <w:rFonts w:cs="Arial"/>
          <w:sz w:val="22"/>
          <w:szCs w:val="22"/>
        </w:rPr>
        <w:t>éveloppement (BERD) en juillet 2006.</w:t>
      </w:r>
    </w:p>
    <w:p w:rsidR="00D25FBE" w:rsidRPr="00852E08" w:rsidRDefault="00D25FBE" w:rsidP="00D25FBE">
      <w:pPr>
        <w:autoSpaceDE w:val="0"/>
        <w:autoSpaceDN w:val="0"/>
        <w:adjustRightInd w:val="0"/>
        <w:spacing w:after="120"/>
        <w:rPr>
          <w:rFonts w:cs="Arial"/>
          <w:sz w:val="22"/>
          <w:szCs w:val="22"/>
        </w:rPr>
      </w:pPr>
      <w:r w:rsidRPr="00852E08">
        <w:rPr>
          <w:rFonts w:cs="Arial"/>
          <w:sz w:val="22"/>
          <w:szCs w:val="22"/>
        </w:rPr>
        <w:t xml:space="preserve">Dans le domaine de la sécurité, </w:t>
      </w:r>
      <w:r>
        <w:rPr>
          <w:rFonts w:cs="Arial"/>
          <w:sz w:val="22"/>
          <w:szCs w:val="22"/>
        </w:rPr>
        <w:t>la Mongolie</w:t>
      </w:r>
      <w:r w:rsidRPr="00852E08">
        <w:rPr>
          <w:rFonts w:cs="Arial"/>
          <w:sz w:val="22"/>
          <w:szCs w:val="22"/>
        </w:rPr>
        <w:t xml:space="preserve"> est un des douze „partenaires du dialogue“ de l’ARF (Forum</w:t>
      </w:r>
      <w:r>
        <w:rPr>
          <w:rFonts w:cs="Arial"/>
          <w:sz w:val="22"/>
          <w:szCs w:val="22"/>
        </w:rPr>
        <w:t xml:space="preserve"> </w:t>
      </w:r>
      <w:r w:rsidRPr="00852E08">
        <w:rPr>
          <w:rFonts w:cs="Arial"/>
          <w:sz w:val="22"/>
          <w:szCs w:val="22"/>
        </w:rPr>
        <w:t>régional de l’ASEAN). Elle a accédé au statut d’observateur de l’Organisation de Coopération de</w:t>
      </w:r>
      <w:r>
        <w:rPr>
          <w:rFonts w:cs="Arial"/>
          <w:sz w:val="22"/>
          <w:szCs w:val="22"/>
        </w:rPr>
        <w:t xml:space="preserve"> </w:t>
      </w:r>
      <w:r w:rsidRPr="00852E08">
        <w:rPr>
          <w:rFonts w:cs="Arial"/>
          <w:sz w:val="22"/>
          <w:szCs w:val="22"/>
        </w:rPr>
        <w:t>Shanghai (OCS) en janvier 2004 et de partenaire asiatique de l’</w:t>
      </w:r>
      <w:r w:rsidRPr="00425754">
        <w:rPr>
          <w:rFonts w:cs="Arial"/>
          <w:sz w:val="22"/>
          <w:szCs w:val="22"/>
        </w:rPr>
        <w:t>Organisation pour la sécurité et la coopération en Europe</w:t>
      </w:r>
      <w:r>
        <w:rPr>
          <w:rFonts w:cs="Arial"/>
          <w:sz w:val="22"/>
          <w:szCs w:val="22"/>
        </w:rPr>
        <w:t xml:space="preserve"> (</w:t>
      </w:r>
      <w:r w:rsidRPr="00852E08">
        <w:rPr>
          <w:rFonts w:cs="Arial"/>
          <w:sz w:val="22"/>
          <w:szCs w:val="22"/>
        </w:rPr>
        <w:t>OSCE</w:t>
      </w:r>
      <w:r>
        <w:rPr>
          <w:rFonts w:cs="Arial"/>
          <w:sz w:val="22"/>
          <w:szCs w:val="22"/>
        </w:rPr>
        <w:t>)</w:t>
      </w:r>
      <w:r w:rsidRPr="00852E08">
        <w:rPr>
          <w:rFonts w:cs="Arial"/>
          <w:sz w:val="22"/>
          <w:szCs w:val="22"/>
        </w:rPr>
        <w:t xml:space="preserve"> en décembre de la même année,</w:t>
      </w:r>
      <w:r>
        <w:rPr>
          <w:rFonts w:cs="Arial"/>
          <w:sz w:val="22"/>
          <w:szCs w:val="22"/>
        </w:rPr>
        <w:t xml:space="preserve"> </w:t>
      </w:r>
      <w:r w:rsidRPr="00852E08">
        <w:rPr>
          <w:rFonts w:cs="Arial"/>
          <w:sz w:val="22"/>
          <w:szCs w:val="22"/>
        </w:rPr>
        <w:t>avant de devenir le 57ème Etat participant de l’OSCE en novembre 2012. Une coopération entre la</w:t>
      </w:r>
      <w:r>
        <w:rPr>
          <w:rFonts w:cs="Arial"/>
          <w:sz w:val="22"/>
          <w:szCs w:val="22"/>
        </w:rPr>
        <w:t xml:space="preserve"> </w:t>
      </w:r>
      <w:r w:rsidRPr="00852E08">
        <w:rPr>
          <w:rFonts w:cs="Arial"/>
          <w:sz w:val="22"/>
          <w:szCs w:val="22"/>
        </w:rPr>
        <w:t>Mongolie et l’OTAN existe dans le cadre des relations de l’Alliance avec les pays partenaires. La</w:t>
      </w:r>
      <w:r>
        <w:rPr>
          <w:rFonts w:cs="Arial"/>
          <w:sz w:val="22"/>
          <w:szCs w:val="22"/>
        </w:rPr>
        <w:t xml:space="preserve"> </w:t>
      </w:r>
      <w:r w:rsidRPr="00852E08">
        <w:rPr>
          <w:rFonts w:cs="Arial"/>
          <w:sz w:val="22"/>
          <w:szCs w:val="22"/>
        </w:rPr>
        <w:t xml:space="preserve">Mongolie a participé aux opérations de maintien de la paix sous mandat </w:t>
      </w:r>
      <w:r>
        <w:rPr>
          <w:rFonts w:cs="Arial"/>
          <w:sz w:val="22"/>
          <w:szCs w:val="22"/>
        </w:rPr>
        <w:t>de l’ONU</w:t>
      </w:r>
      <w:r w:rsidRPr="00852E08">
        <w:rPr>
          <w:rFonts w:cs="Arial"/>
          <w:sz w:val="22"/>
          <w:szCs w:val="22"/>
        </w:rPr>
        <w:t>, notamment au Sierra</w:t>
      </w:r>
      <w:r>
        <w:rPr>
          <w:rFonts w:cs="Arial"/>
          <w:sz w:val="22"/>
          <w:szCs w:val="22"/>
        </w:rPr>
        <w:t xml:space="preserve"> </w:t>
      </w:r>
      <w:r w:rsidRPr="00852E08">
        <w:rPr>
          <w:rFonts w:cs="Arial"/>
          <w:sz w:val="22"/>
          <w:szCs w:val="22"/>
        </w:rPr>
        <w:t>Leone, en Irak, en Afghanistan et au Kosovo.</w:t>
      </w:r>
    </w:p>
    <w:p w:rsidR="00D25FBE" w:rsidRDefault="00D25FBE"/>
    <w:sectPr w:rsidR="00D25FBE" w:rsidSect="00CC2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wiss721B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5FBE"/>
    <w:rsid w:val="00007708"/>
    <w:rsid w:val="002D11C6"/>
    <w:rsid w:val="00CC23D9"/>
    <w:rsid w:val="00D2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E657C24-1078-4248-96AB-D3F1248E0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FBE"/>
    <w:pPr>
      <w:jc w:val="both"/>
    </w:pPr>
    <w:rPr>
      <w:rFonts w:ascii="Arial" w:eastAsia="Times New Roman" w:hAnsi="Arial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2565</Characters>
  <Application>Microsoft Office Word</Application>
  <DocSecurity>4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BRORS</dc:creator>
  <cp:keywords/>
  <cp:lastModifiedBy>SYSTEM</cp:lastModifiedBy>
  <cp:revision>2</cp:revision>
  <dcterms:created xsi:type="dcterms:W3CDTF">2024-02-21T07:50:00Z</dcterms:created>
  <dcterms:modified xsi:type="dcterms:W3CDTF">2024-02-21T07:50:00Z</dcterms:modified>
</cp:coreProperties>
</file>