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B79" w:rsidRPr="006E2C7B" w:rsidRDefault="00B775CB" w:rsidP="006E2C7B">
      <w:pPr>
        <w:tabs>
          <w:tab w:val="left" w:pos="3544"/>
        </w:tabs>
        <w:jc w:val="both"/>
        <w:rPr>
          <w:rFonts w:ascii="Arial" w:eastAsia="Times New Roman" w:hAnsi="Arial" w:cs="Arial"/>
          <w:b/>
          <w:sz w:val="22"/>
          <w:szCs w:val="22"/>
          <w:lang w:val="fr-BE"/>
        </w:rPr>
      </w:pPr>
      <w:bookmarkStart w:id="0" w:name="_GoBack"/>
      <w:bookmarkEnd w:id="0"/>
      <w:r w:rsidRPr="006E2C7B">
        <w:rPr>
          <w:rFonts w:ascii="Arial" w:hAnsi="Arial" w:cs="Arial"/>
          <w:b/>
          <w:bCs/>
          <w:sz w:val="22"/>
          <w:szCs w:val="22"/>
          <w:lang w:val="fr-BE"/>
        </w:rPr>
        <w:t>Projet de loi</w:t>
      </w:r>
      <w:r w:rsidR="006E2C7B" w:rsidRPr="006E2C7B">
        <w:rPr>
          <w:rFonts w:ascii="Arial" w:hAnsi="Arial" w:cs="Arial"/>
          <w:b/>
          <w:noProof/>
          <w:sz w:val="22"/>
          <w:szCs w:val="22"/>
          <w:lang w:val="fr-FR"/>
        </w:rPr>
        <w:t xml:space="preserve"> 6653</w:t>
      </w:r>
      <w:r w:rsidR="006E2C7B">
        <w:rPr>
          <w:rFonts w:ascii="Arial" w:hAnsi="Arial" w:cs="Arial"/>
          <w:b/>
          <w:noProof/>
          <w:sz w:val="22"/>
          <w:szCs w:val="22"/>
          <w:lang w:val="fr-FR"/>
        </w:rPr>
        <w:t xml:space="preserve"> </w:t>
      </w:r>
      <w:r w:rsidR="003E0B79" w:rsidRPr="006E2C7B">
        <w:rPr>
          <w:rFonts w:ascii="Arial" w:eastAsia="Times New Roman" w:hAnsi="Arial" w:cs="Arial"/>
          <w:b/>
          <w:sz w:val="22"/>
          <w:szCs w:val="22"/>
          <w:lang w:val="fr-BE"/>
        </w:rPr>
        <w:t>portant création d’un comité du risque systémique</w:t>
      </w:r>
      <w:r w:rsidR="00216506" w:rsidRPr="006E2C7B">
        <w:rPr>
          <w:rFonts w:ascii="Arial" w:eastAsia="Times New Roman" w:hAnsi="Arial" w:cs="Arial"/>
          <w:b/>
          <w:sz w:val="22"/>
          <w:szCs w:val="22"/>
          <w:lang w:val="fr-BE"/>
        </w:rPr>
        <w:t xml:space="preserve"> et modifiant la loi modifiée du 23 décembre 1998 relative au statut monétaire et à la Banque centrale du Luxembourg</w:t>
      </w:r>
    </w:p>
    <w:p w:rsidR="00216506" w:rsidRPr="00DC0235" w:rsidRDefault="00216506" w:rsidP="003E0B79">
      <w:pPr>
        <w:jc w:val="center"/>
        <w:rPr>
          <w:rFonts w:ascii="Arial" w:eastAsia="Times New Roman" w:hAnsi="Arial" w:cs="Arial"/>
          <w:b/>
          <w:sz w:val="22"/>
          <w:szCs w:val="22"/>
          <w:lang w:val="fr-LU"/>
        </w:rPr>
      </w:pPr>
    </w:p>
    <w:p w:rsidR="00F17704" w:rsidRDefault="00D300A3" w:rsidP="00C506AC">
      <w:pPr>
        <w:jc w:val="both"/>
        <w:rPr>
          <w:rFonts w:ascii="Arial" w:eastAsia="Times New Roman" w:hAnsi="Arial" w:cs="Arial"/>
          <w:sz w:val="22"/>
          <w:szCs w:val="22"/>
          <w:lang w:val="fr-FR"/>
        </w:rPr>
      </w:pPr>
      <w:r w:rsidRPr="00087536">
        <w:rPr>
          <w:rFonts w:ascii="Arial" w:hAnsi="Arial" w:cs="Arial"/>
          <w:sz w:val="22"/>
          <w:szCs w:val="22"/>
          <w:lang w:val="fr-FR"/>
        </w:rPr>
        <w:t xml:space="preserve">Le projet de loi sous rubrique </w:t>
      </w:r>
      <w:r w:rsidR="00F17704" w:rsidRPr="00087536">
        <w:rPr>
          <w:rFonts w:ascii="Arial" w:hAnsi="Arial" w:cs="Arial"/>
          <w:sz w:val="22"/>
          <w:szCs w:val="22"/>
          <w:lang w:val="fr-FR"/>
        </w:rPr>
        <w:t xml:space="preserve">a comme objet la mise en place d’un comité du risque systémique, autorité </w:t>
      </w:r>
      <w:r w:rsidR="00F17704" w:rsidRPr="00087536">
        <w:rPr>
          <w:rFonts w:ascii="Arial" w:eastAsia="Times New Roman" w:hAnsi="Arial" w:cs="Arial"/>
          <w:sz w:val="22"/>
          <w:szCs w:val="22"/>
          <w:lang w:val="fr-FR"/>
        </w:rPr>
        <w:t>macroprudentielle</w:t>
      </w:r>
      <w:r w:rsidR="00F17704" w:rsidRPr="00087536">
        <w:rPr>
          <w:rFonts w:ascii="Arial" w:hAnsi="Arial" w:cs="Arial"/>
          <w:sz w:val="22"/>
          <w:szCs w:val="22"/>
          <w:lang w:val="fr-FR"/>
        </w:rPr>
        <w:t xml:space="preserve"> nationale. Il </w:t>
      </w:r>
      <w:r w:rsidR="00F416B8" w:rsidRPr="00087536">
        <w:rPr>
          <w:rFonts w:ascii="Arial" w:hAnsi="Arial" w:cs="Arial"/>
          <w:sz w:val="22"/>
          <w:szCs w:val="22"/>
          <w:lang w:val="fr-FR"/>
        </w:rPr>
        <w:t>implémente ainsi</w:t>
      </w:r>
      <w:r w:rsidR="00087536" w:rsidRPr="00087536">
        <w:rPr>
          <w:rFonts w:ascii="Arial" w:hAnsi="Arial" w:cs="Arial"/>
          <w:sz w:val="22"/>
          <w:szCs w:val="22"/>
          <w:lang w:val="fr-FR"/>
        </w:rPr>
        <w:t xml:space="preserve"> </w:t>
      </w:r>
      <w:r w:rsidR="00F17704" w:rsidRPr="00087536">
        <w:rPr>
          <w:rFonts w:ascii="Arial" w:hAnsi="Arial" w:cs="Arial"/>
          <w:sz w:val="22"/>
          <w:szCs w:val="22"/>
          <w:lang w:val="fr-FR"/>
        </w:rPr>
        <w:t xml:space="preserve">deux recommandations du </w:t>
      </w:r>
      <w:r w:rsidR="00F17704" w:rsidRPr="00087536">
        <w:rPr>
          <w:rFonts w:ascii="Arial" w:eastAsia="Times New Roman" w:hAnsi="Arial" w:cs="Arial"/>
          <w:sz w:val="22"/>
          <w:szCs w:val="22"/>
          <w:lang w:val="fr-FR"/>
        </w:rPr>
        <w:t xml:space="preserve">Comité européen du risque systémique (« CERS ») qui visent à renforcer les dispositifs de surveillance financière de nature systémique. </w:t>
      </w:r>
    </w:p>
    <w:p w:rsidR="00964A16" w:rsidRPr="00087536" w:rsidRDefault="00964A16" w:rsidP="00C506AC">
      <w:pPr>
        <w:jc w:val="both"/>
        <w:rPr>
          <w:rFonts w:ascii="Arial" w:hAnsi="Arial" w:cs="Arial"/>
          <w:sz w:val="22"/>
          <w:szCs w:val="22"/>
          <w:lang w:val="fr-FR"/>
        </w:rPr>
      </w:pPr>
    </w:p>
    <w:p w:rsidR="001A4DC2" w:rsidRPr="00087536" w:rsidRDefault="00396ECE" w:rsidP="00C506AC">
      <w:pPr>
        <w:jc w:val="both"/>
        <w:rPr>
          <w:rFonts w:ascii="Arial" w:eastAsia="Times New Roman" w:hAnsi="Arial" w:cs="Arial"/>
          <w:sz w:val="22"/>
          <w:szCs w:val="22"/>
          <w:lang w:val="fr-FR"/>
        </w:rPr>
      </w:pPr>
      <w:r w:rsidRPr="00087536">
        <w:rPr>
          <w:rFonts w:ascii="Arial" w:hAnsi="Arial" w:cs="Arial"/>
          <w:sz w:val="22"/>
          <w:szCs w:val="22"/>
          <w:lang w:val="fr-FR"/>
        </w:rPr>
        <w:t>Une fois que l’envergure des conséquences de la crise financière</w:t>
      </w:r>
      <w:r w:rsidR="00087536" w:rsidRPr="00087536">
        <w:rPr>
          <w:rFonts w:ascii="Arial" w:hAnsi="Arial" w:cs="Arial"/>
          <w:sz w:val="22"/>
          <w:szCs w:val="22"/>
          <w:lang w:val="fr-FR"/>
        </w:rPr>
        <w:t xml:space="preserve"> de 2008 devenait</w:t>
      </w:r>
      <w:r w:rsidRPr="00087536">
        <w:rPr>
          <w:rFonts w:ascii="Arial" w:hAnsi="Arial" w:cs="Arial"/>
          <w:sz w:val="22"/>
          <w:szCs w:val="22"/>
          <w:lang w:val="fr-FR"/>
        </w:rPr>
        <w:t xml:space="preserve"> de plus en plus </w:t>
      </w:r>
      <w:r w:rsidR="00087536" w:rsidRPr="00087536">
        <w:rPr>
          <w:rFonts w:ascii="Arial" w:hAnsi="Arial" w:cs="Arial"/>
          <w:sz w:val="22"/>
          <w:szCs w:val="22"/>
          <w:lang w:val="fr-FR"/>
        </w:rPr>
        <w:t>apparente</w:t>
      </w:r>
      <w:r w:rsidRPr="00087536">
        <w:rPr>
          <w:rFonts w:ascii="Arial" w:hAnsi="Arial" w:cs="Arial"/>
          <w:sz w:val="22"/>
          <w:szCs w:val="22"/>
          <w:lang w:val="fr-FR"/>
        </w:rPr>
        <w:t>, la Commission européenne a ordonné une étude concernant les causes des événements. Le</w:t>
      </w:r>
      <w:r w:rsidR="009716BD">
        <w:rPr>
          <w:rFonts w:ascii="Arial" w:hAnsi="Arial" w:cs="Arial"/>
          <w:sz w:val="22"/>
          <w:szCs w:val="22"/>
          <w:lang w:val="fr-FR"/>
        </w:rPr>
        <w:t>s travaux réalisés ont montré que c</w:t>
      </w:r>
      <w:r w:rsidR="005701F7" w:rsidRPr="00087536">
        <w:rPr>
          <w:rFonts w:ascii="Arial" w:eastAsia="Times New Roman" w:hAnsi="Arial" w:cs="Arial"/>
          <w:sz w:val="22"/>
          <w:szCs w:val="22"/>
          <w:lang w:val="fr-FR"/>
        </w:rPr>
        <w:t>’est une évaluation trop laxiste des risques de la part des acteurs, dissimulée par la nature complexe des produits financiers mis en place, qui a amené le système financier à une vulnérabilité</w:t>
      </w:r>
      <w:r w:rsidR="001A4DC2" w:rsidRPr="00087536">
        <w:rPr>
          <w:rFonts w:ascii="Arial" w:eastAsia="Times New Roman" w:hAnsi="Arial" w:cs="Arial"/>
          <w:sz w:val="22"/>
          <w:szCs w:val="22"/>
          <w:lang w:val="fr-FR"/>
        </w:rPr>
        <w:t xml:space="preserve"> progressivement plus élevée. Une fois que des</w:t>
      </w:r>
      <w:r w:rsidR="006C3F9B" w:rsidRPr="00087536">
        <w:rPr>
          <w:rFonts w:ascii="Arial" w:eastAsia="Times New Roman" w:hAnsi="Arial" w:cs="Arial"/>
          <w:sz w:val="22"/>
          <w:szCs w:val="22"/>
          <w:lang w:val="fr-FR"/>
        </w:rPr>
        <w:t xml:space="preserve"> doutes ont émergé par rapport à</w:t>
      </w:r>
      <w:r w:rsidR="001A4DC2" w:rsidRPr="00087536">
        <w:rPr>
          <w:rFonts w:ascii="Arial" w:eastAsia="Times New Roman" w:hAnsi="Arial" w:cs="Arial"/>
          <w:sz w:val="22"/>
          <w:szCs w:val="22"/>
          <w:lang w:val="fr-FR"/>
        </w:rPr>
        <w:t xml:space="preserve"> la solvabilité de certains acteurs, un effondrement de la confiance a déclenché une crise systémique.</w:t>
      </w:r>
    </w:p>
    <w:p w:rsidR="005701F7" w:rsidRPr="00087536" w:rsidRDefault="005701F7" w:rsidP="00C506AC">
      <w:pPr>
        <w:jc w:val="both"/>
        <w:rPr>
          <w:rFonts w:ascii="Arial" w:eastAsia="Times New Roman" w:hAnsi="Arial" w:cs="Arial"/>
          <w:sz w:val="22"/>
          <w:szCs w:val="22"/>
          <w:lang w:val="fr-FR"/>
        </w:rPr>
      </w:pPr>
    </w:p>
    <w:p w:rsidR="009E71DC" w:rsidRPr="00087536" w:rsidRDefault="001A4DC2" w:rsidP="00C506AC">
      <w:pPr>
        <w:jc w:val="both"/>
        <w:rPr>
          <w:rFonts w:ascii="Arial" w:eastAsia="Times New Roman" w:hAnsi="Arial" w:cs="Arial"/>
          <w:sz w:val="22"/>
          <w:szCs w:val="22"/>
          <w:lang w:val="fr-FR"/>
        </w:rPr>
      </w:pPr>
      <w:r w:rsidRPr="00087536">
        <w:rPr>
          <w:rFonts w:ascii="Arial" w:eastAsia="Times New Roman" w:hAnsi="Arial" w:cs="Arial"/>
          <w:sz w:val="22"/>
          <w:szCs w:val="22"/>
          <w:lang w:val="fr-FR"/>
        </w:rPr>
        <w:t xml:space="preserve">En outre, il </w:t>
      </w:r>
      <w:r w:rsidR="009716BD">
        <w:rPr>
          <w:rFonts w:ascii="Arial" w:eastAsia="Times New Roman" w:hAnsi="Arial" w:cs="Arial"/>
          <w:sz w:val="22"/>
          <w:szCs w:val="22"/>
          <w:lang w:val="fr-FR"/>
        </w:rPr>
        <w:t xml:space="preserve">a été constaté </w:t>
      </w:r>
      <w:r w:rsidRPr="00087536">
        <w:rPr>
          <w:rFonts w:ascii="Arial" w:eastAsia="Times New Roman" w:hAnsi="Arial" w:cs="Arial"/>
          <w:sz w:val="22"/>
          <w:szCs w:val="22"/>
          <w:lang w:val="fr-FR"/>
        </w:rPr>
        <w:t xml:space="preserve">que trop souvent les autorités nationales ne disposaient pas d’informations détaillées sur les produits financiers et sur l’ampleur de leur usage, de sorte qu’elles n’ont pas été en mesure de </w:t>
      </w:r>
      <w:r w:rsidR="006C3F9B" w:rsidRPr="00087536">
        <w:rPr>
          <w:rFonts w:ascii="Arial" w:eastAsia="Times New Roman" w:hAnsi="Arial" w:cs="Arial"/>
          <w:sz w:val="22"/>
          <w:szCs w:val="22"/>
          <w:lang w:val="fr-FR"/>
        </w:rPr>
        <w:t xml:space="preserve">pratiquer une surveillance </w:t>
      </w:r>
      <w:r w:rsidRPr="00087536">
        <w:rPr>
          <w:rFonts w:ascii="Arial" w:eastAsia="Times New Roman" w:hAnsi="Arial" w:cs="Arial"/>
          <w:sz w:val="22"/>
          <w:szCs w:val="22"/>
          <w:lang w:val="fr-FR"/>
        </w:rPr>
        <w:t xml:space="preserve">systémique. En effet, ce contrôle s’est le plus </w:t>
      </w:r>
      <w:r w:rsidR="00EC2142" w:rsidRPr="00087536">
        <w:rPr>
          <w:rFonts w:ascii="Arial" w:eastAsia="Times New Roman" w:hAnsi="Arial" w:cs="Arial"/>
          <w:sz w:val="22"/>
          <w:szCs w:val="22"/>
          <w:lang w:val="fr-FR"/>
        </w:rPr>
        <w:t>souvent</w:t>
      </w:r>
      <w:r w:rsidRPr="00087536">
        <w:rPr>
          <w:rFonts w:ascii="Arial" w:eastAsia="Times New Roman" w:hAnsi="Arial" w:cs="Arial"/>
          <w:sz w:val="22"/>
          <w:szCs w:val="22"/>
          <w:lang w:val="fr-FR"/>
        </w:rPr>
        <w:t xml:space="preserve"> réduit à une approche </w:t>
      </w:r>
      <w:r w:rsidR="00EC2142" w:rsidRPr="00087536">
        <w:rPr>
          <w:rFonts w:ascii="Arial" w:eastAsia="Times New Roman" w:hAnsi="Arial" w:cs="Arial"/>
          <w:sz w:val="22"/>
          <w:szCs w:val="22"/>
          <w:lang w:val="fr-FR"/>
        </w:rPr>
        <w:t>microprudentiel</w:t>
      </w:r>
      <w:r w:rsidR="00DF03B3" w:rsidRPr="00087536">
        <w:rPr>
          <w:rFonts w:ascii="Arial" w:eastAsia="Times New Roman" w:hAnsi="Arial" w:cs="Arial"/>
          <w:sz w:val="22"/>
          <w:szCs w:val="22"/>
          <w:lang w:val="fr-FR"/>
        </w:rPr>
        <w:t>le</w:t>
      </w:r>
      <w:r w:rsidR="0080559D" w:rsidRPr="00087536">
        <w:rPr>
          <w:rFonts w:ascii="Arial" w:eastAsia="Times New Roman" w:hAnsi="Arial" w:cs="Arial"/>
          <w:sz w:val="22"/>
          <w:szCs w:val="22"/>
          <w:lang w:val="fr-FR"/>
        </w:rPr>
        <w:t>, les autorités de surveillance s’attachant à examiner la solidité financière, la solvabilité et les risques encourus par des établissements ou groupes bancaires individuels,</w:t>
      </w:r>
      <w:r w:rsidR="00EC2142" w:rsidRPr="00087536">
        <w:rPr>
          <w:rFonts w:ascii="Arial" w:eastAsia="Times New Roman" w:hAnsi="Arial" w:cs="Arial"/>
          <w:sz w:val="22"/>
          <w:szCs w:val="22"/>
          <w:lang w:val="fr-FR"/>
        </w:rPr>
        <w:t xml:space="preserve"> négligeant les dynamiques </w:t>
      </w:r>
      <w:r w:rsidR="0080559D" w:rsidRPr="00087536">
        <w:rPr>
          <w:rFonts w:ascii="Arial" w:eastAsia="Times New Roman" w:hAnsi="Arial" w:cs="Arial"/>
          <w:sz w:val="22"/>
          <w:szCs w:val="22"/>
          <w:lang w:val="fr-FR"/>
        </w:rPr>
        <w:t>entre</w:t>
      </w:r>
      <w:r w:rsidR="009E71DC" w:rsidRPr="00087536">
        <w:rPr>
          <w:rFonts w:ascii="Arial" w:eastAsia="Times New Roman" w:hAnsi="Arial" w:cs="Arial"/>
          <w:sz w:val="22"/>
          <w:szCs w:val="22"/>
          <w:lang w:val="fr-FR"/>
        </w:rPr>
        <w:t xml:space="preserve"> </w:t>
      </w:r>
      <w:r w:rsidR="0080559D" w:rsidRPr="00087536">
        <w:rPr>
          <w:rFonts w:ascii="Arial" w:eastAsia="Times New Roman" w:hAnsi="Arial" w:cs="Arial"/>
          <w:sz w:val="22"/>
          <w:szCs w:val="22"/>
          <w:lang w:val="fr-FR"/>
        </w:rPr>
        <w:t xml:space="preserve">les établissements de crédit, voire entre les établissements de crédit et le système financier en général. </w:t>
      </w:r>
      <w:r w:rsidR="009E71DC" w:rsidRPr="00087536">
        <w:rPr>
          <w:rFonts w:ascii="Arial" w:eastAsia="Times New Roman" w:hAnsi="Arial" w:cs="Arial"/>
          <w:sz w:val="22"/>
          <w:szCs w:val="22"/>
          <w:lang w:val="fr-FR"/>
        </w:rPr>
        <w:t>C’est aussi dans cette ligne de pensée que les auteurs suggèrent la mise en place au niveau européen d’un nouvel organisme, dénommé «Conseil européen du risque systémique» (recommandation 16).</w:t>
      </w:r>
    </w:p>
    <w:p w:rsidR="00087536" w:rsidRPr="00087536" w:rsidRDefault="00087536" w:rsidP="00C506AC">
      <w:pPr>
        <w:jc w:val="both"/>
        <w:rPr>
          <w:rFonts w:ascii="Arial" w:eastAsia="Times New Roman" w:hAnsi="Arial" w:cs="Arial"/>
          <w:sz w:val="22"/>
          <w:szCs w:val="22"/>
          <w:lang w:val="fr-FR"/>
        </w:rPr>
      </w:pPr>
    </w:p>
    <w:p w:rsidR="00BB3474" w:rsidRPr="00087536" w:rsidRDefault="001554F2" w:rsidP="00C506AC">
      <w:pPr>
        <w:jc w:val="both"/>
        <w:rPr>
          <w:rFonts w:ascii="Arial" w:eastAsia="Times New Roman" w:hAnsi="Arial" w:cs="Arial"/>
          <w:bCs/>
          <w:sz w:val="22"/>
          <w:szCs w:val="22"/>
          <w:lang w:val="fr-FR"/>
        </w:rPr>
      </w:pPr>
      <w:r w:rsidRPr="00087536">
        <w:rPr>
          <w:rFonts w:ascii="Arial" w:eastAsia="Times New Roman" w:hAnsi="Arial" w:cs="Arial"/>
          <w:bCs/>
          <w:sz w:val="22"/>
          <w:szCs w:val="22"/>
          <w:lang w:val="fr-FR"/>
        </w:rPr>
        <w:t xml:space="preserve">En 2010, un </w:t>
      </w:r>
      <w:r w:rsidR="00BB3474" w:rsidRPr="00087536">
        <w:rPr>
          <w:rFonts w:ascii="Arial" w:eastAsia="Times New Roman" w:hAnsi="Arial" w:cs="Arial"/>
          <w:bCs/>
          <w:sz w:val="22"/>
          <w:szCs w:val="22"/>
          <w:lang w:val="fr-FR"/>
        </w:rPr>
        <w:t xml:space="preserve">tel « Comité européen du risque systémique » </w:t>
      </w:r>
      <w:r w:rsidR="00BB3474" w:rsidRPr="00087536">
        <w:rPr>
          <w:rFonts w:ascii="Arial" w:eastAsia="Times New Roman" w:hAnsi="Arial" w:cs="Arial"/>
          <w:sz w:val="22"/>
          <w:szCs w:val="22"/>
          <w:lang w:val="fr-FR"/>
        </w:rPr>
        <w:t xml:space="preserve">(CERS) </w:t>
      </w:r>
      <w:r w:rsidR="006C3F9B" w:rsidRPr="00087536">
        <w:rPr>
          <w:rFonts w:ascii="Arial" w:eastAsia="Times New Roman" w:hAnsi="Arial" w:cs="Arial"/>
          <w:bCs/>
          <w:sz w:val="22"/>
          <w:szCs w:val="22"/>
          <w:lang w:val="fr-FR"/>
        </w:rPr>
        <w:t>a vu</w:t>
      </w:r>
      <w:r w:rsidR="00BB3474" w:rsidRPr="00087536">
        <w:rPr>
          <w:rFonts w:ascii="Arial" w:eastAsia="Times New Roman" w:hAnsi="Arial" w:cs="Arial"/>
          <w:bCs/>
          <w:sz w:val="22"/>
          <w:szCs w:val="22"/>
          <w:lang w:val="fr-FR"/>
        </w:rPr>
        <w:t xml:space="preserve"> le jour avec comme mission d’assumer la </w:t>
      </w:r>
      <w:r w:rsidR="00BB3474" w:rsidRPr="00087536">
        <w:rPr>
          <w:rFonts w:ascii="Arial" w:eastAsia="Times New Roman" w:hAnsi="Arial" w:cs="Arial"/>
          <w:i/>
          <w:sz w:val="22"/>
          <w:szCs w:val="22"/>
          <w:shd w:val="clear" w:color="auto" w:fill="FFFFFF"/>
          <w:lang w:val="fr-FR"/>
        </w:rPr>
        <w:t>« surveillance macroprudentielle du système financier dans l’Union, dans le but de contribuer à la prévention ou à l’atténuation des risques systémiques pour la stabilité financière de l’Union</w:t>
      </w:r>
      <w:r w:rsidR="00BB3474" w:rsidRPr="00087536">
        <w:rPr>
          <w:rFonts w:ascii="Arial" w:eastAsia="Times New Roman" w:hAnsi="Arial" w:cs="Arial"/>
          <w:sz w:val="22"/>
          <w:szCs w:val="22"/>
          <w:shd w:val="clear" w:color="auto" w:fill="FFFFFF"/>
          <w:lang w:val="fr-FR"/>
        </w:rPr>
        <w:t xml:space="preserve"> </w:t>
      </w:r>
      <w:r w:rsidR="00BB3474" w:rsidRPr="00087536">
        <w:rPr>
          <w:rFonts w:ascii="Arial" w:eastAsia="Times New Roman" w:hAnsi="Arial" w:cs="Arial"/>
          <w:i/>
          <w:sz w:val="22"/>
          <w:szCs w:val="22"/>
          <w:shd w:val="clear" w:color="auto" w:fill="FFFFFF"/>
          <w:lang w:val="fr-FR"/>
        </w:rPr>
        <w:t>»</w:t>
      </w:r>
      <w:r w:rsidR="00BB3474" w:rsidRPr="00087536">
        <w:rPr>
          <w:rFonts w:ascii="Arial" w:eastAsia="Times New Roman" w:hAnsi="Arial" w:cs="Arial"/>
          <w:sz w:val="22"/>
          <w:szCs w:val="22"/>
          <w:shd w:val="clear" w:color="auto" w:fill="FFFFFF"/>
          <w:lang w:val="fr-FR"/>
        </w:rPr>
        <w:t>.</w:t>
      </w:r>
      <w:r w:rsidR="00BB3474" w:rsidRPr="00087536">
        <w:rPr>
          <w:rStyle w:val="Appelnotedebasdep"/>
          <w:rFonts w:ascii="Arial" w:eastAsia="Times New Roman" w:hAnsi="Arial" w:cs="Arial"/>
          <w:bCs/>
          <w:sz w:val="22"/>
          <w:szCs w:val="22"/>
          <w:lang w:val="fr-FR"/>
        </w:rPr>
        <w:t xml:space="preserve"> </w:t>
      </w:r>
      <w:r w:rsidR="00BB3474" w:rsidRPr="00087536">
        <w:rPr>
          <w:rStyle w:val="Appelnotedebasdep"/>
          <w:rFonts w:ascii="Arial" w:eastAsia="Times New Roman" w:hAnsi="Arial" w:cs="Arial"/>
          <w:bCs/>
          <w:sz w:val="22"/>
          <w:szCs w:val="22"/>
          <w:lang w:val="fr-FR"/>
        </w:rPr>
        <w:footnoteReference w:id="1"/>
      </w:r>
      <w:r w:rsidR="00BB3474" w:rsidRPr="00087536">
        <w:rPr>
          <w:rFonts w:ascii="Arial" w:eastAsia="Times New Roman" w:hAnsi="Arial" w:cs="Arial"/>
          <w:sz w:val="22"/>
          <w:szCs w:val="22"/>
          <w:shd w:val="clear" w:color="auto" w:fill="FFFFFF"/>
          <w:lang w:val="fr-FR"/>
        </w:rPr>
        <w:t xml:space="preserve"> </w:t>
      </w:r>
      <w:r w:rsidR="00BB3474" w:rsidRPr="00087536">
        <w:rPr>
          <w:rStyle w:val="Appelnotedebasdep"/>
          <w:rFonts w:ascii="Arial" w:eastAsia="Times New Roman" w:hAnsi="Arial" w:cs="Arial"/>
          <w:bCs/>
          <w:sz w:val="22"/>
          <w:szCs w:val="22"/>
          <w:lang w:val="fr-FR"/>
        </w:rPr>
        <w:t xml:space="preserve"> </w:t>
      </w:r>
      <w:r w:rsidR="006C3F9B" w:rsidRPr="00087536">
        <w:rPr>
          <w:rFonts w:ascii="Arial" w:eastAsia="Times New Roman" w:hAnsi="Arial" w:cs="Arial"/>
          <w:bCs/>
          <w:sz w:val="22"/>
          <w:szCs w:val="22"/>
          <w:lang w:val="fr-FR"/>
        </w:rPr>
        <w:t>Par la suite, cet organe émet plusieurs avis,  parmi lesquels deux ayant trait au projet de loi sous rubrique.</w:t>
      </w:r>
    </w:p>
    <w:p w:rsidR="006C3F9B" w:rsidRPr="00087536" w:rsidRDefault="006C3F9B" w:rsidP="00C506AC">
      <w:pPr>
        <w:jc w:val="both"/>
        <w:rPr>
          <w:rFonts w:ascii="Arial" w:eastAsia="Times New Roman" w:hAnsi="Arial" w:cs="Arial"/>
          <w:bCs/>
          <w:sz w:val="22"/>
          <w:szCs w:val="22"/>
          <w:lang w:val="fr-FR"/>
        </w:rPr>
      </w:pPr>
    </w:p>
    <w:p w:rsidR="00BB3474" w:rsidRPr="00087536" w:rsidRDefault="006C3F9B" w:rsidP="00DF03B3">
      <w:pPr>
        <w:pStyle w:val="Paragraphedeliste"/>
        <w:numPr>
          <w:ilvl w:val="0"/>
          <w:numId w:val="24"/>
        </w:numPr>
        <w:spacing w:line="240" w:lineRule="auto"/>
        <w:jc w:val="both"/>
        <w:rPr>
          <w:rFonts w:ascii="Arial" w:eastAsia="Times New Roman" w:hAnsi="Arial" w:cs="Arial"/>
        </w:rPr>
      </w:pPr>
      <w:r w:rsidRPr="00087536">
        <w:rPr>
          <w:rFonts w:ascii="Arial" w:eastAsia="Times New Roman" w:hAnsi="Arial" w:cs="Arial"/>
          <w:bCs/>
        </w:rPr>
        <w:t>L</w:t>
      </w:r>
      <w:r w:rsidR="00BB3474" w:rsidRPr="00087536">
        <w:rPr>
          <w:rFonts w:ascii="Arial" w:eastAsia="Times New Roman" w:hAnsi="Arial" w:cs="Arial"/>
          <w:bCs/>
        </w:rPr>
        <w:t>a recommandation CERS/2011/3, émise le 22 d</w:t>
      </w:r>
      <w:r w:rsidR="001C0DD6" w:rsidRPr="00087536">
        <w:rPr>
          <w:rFonts w:ascii="Arial" w:eastAsia="Times New Roman" w:hAnsi="Arial" w:cs="Arial"/>
          <w:bCs/>
        </w:rPr>
        <w:t>écembre 2011 et concernant le ma</w:t>
      </w:r>
      <w:r w:rsidR="00BB3474" w:rsidRPr="00087536">
        <w:rPr>
          <w:rFonts w:ascii="Arial" w:eastAsia="Times New Roman" w:hAnsi="Arial" w:cs="Arial"/>
          <w:bCs/>
        </w:rPr>
        <w:t xml:space="preserve">ndat macroprudentiel des autorités nationales, </w:t>
      </w:r>
      <w:r w:rsidRPr="00087536">
        <w:rPr>
          <w:rFonts w:ascii="Arial" w:eastAsia="Times New Roman" w:hAnsi="Arial" w:cs="Arial"/>
          <w:bCs/>
        </w:rPr>
        <w:t>a invité</w:t>
      </w:r>
      <w:r w:rsidR="00BB3474" w:rsidRPr="00087536">
        <w:rPr>
          <w:rFonts w:ascii="Arial" w:eastAsia="Times New Roman" w:hAnsi="Arial" w:cs="Arial"/>
          <w:bCs/>
        </w:rPr>
        <w:t xml:space="preserve"> les </w:t>
      </w:r>
      <w:r w:rsidR="00BB3474" w:rsidRPr="00087536">
        <w:rPr>
          <w:rFonts w:ascii="Arial" w:eastAsia="Times New Roman" w:hAnsi="Arial" w:cs="Arial"/>
        </w:rPr>
        <w:t xml:space="preserve">Etats membres à désigner une autorité chargée de la conduite de la politique macroprudentielle, dont les compétences sont attribuées soit à une </w:t>
      </w:r>
      <w:r w:rsidR="00DF03B3" w:rsidRPr="00087536">
        <w:rPr>
          <w:rFonts w:ascii="Arial" w:eastAsia="Times New Roman" w:hAnsi="Arial" w:cs="Arial"/>
        </w:rPr>
        <w:t>institution, soit à un collège composé de</w:t>
      </w:r>
      <w:r w:rsidR="00BB3474" w:rsidRPr="00087536">
        <w:rPr>
          <w:rFonts w:ascii="Arial" w:eastAsia="Times New Roman" w:hAnsi="Arial" w:cs="Arial"/>
        </w:rPr>
        <w:t xml:space="preserve"> plusieurs autorités dont les mesures ont une influence important</w:t>
      </w:r>
      <w:r w:rsidR="00DF03B3" w:rsidRPr="00087536">
        <w:rPr>
          <w:rFonts w:ascii="Arial" w:eastAsia="Times New Roman" w:hAnsi="Arial" w:cs="Arial"/>
        </w:rPr>
        <w:t>e</w:t>
      </w:r>
      <w:r w:rsidR="00BB3474" w:rsidRPr="00087536">
        <w:rPr>
          <w:rFonts w:ascii="Arial" w:eastAsia="Times New Roman" w:hAnsi="Arial" w:cs="Arial"/>
        </w:rPr>
        <w:t xml:space="preserve"> sur la stabilité financière</w:t>
      </w:r>
      <w:r w:rsidR="00DF03B3" w:rsidRPr="00087536">
        <w:rPr>
          <w:rFonts w:ascii="Arial" w:eastAsia="Times New Roman" w:hAnsi="Arial" w:cs="Arial"/>
        </w:rPr>
        <w:t>, dans ce contexte une attention particulière est à porter au rôle à jouer</w:t>
      </w:r>
      <w:r w:rsidR="001C0DD6" w:rsidRPr="00087536">
        <w:rPr>
          <w:rFonts w:ascii="Arial" w:eastAsia="Times New Roman" w:hAnsi="Arial" w:cs="Arial"/>
        </w:rPr>
        <w:t xml:space="preserve"> </w:t>
      </w:r>
      <w:r w:rsidR="00DF03B3" w:rsidRPr="00087536">
        <w:rPr>
          <w:rFonts w:ascii="Arial" w:eastAsia="Times New Roman" w:hAnsi="Arial" w:cs="Arial"/>
        </w:rPr>
        <w:t xml:space="preserve">par </w:t>
      </w:r>
      <w:r w:rsidR="001C0DD6" w:rsidRPr="00087536">
        <w:rPr>
          <w:rFonts w:ascii="Arial" w:eastAsia="Times New Roman" w:hAnsi="Arial" w:cs="Arial"/>
        </w:rPr>
        <w:t>la banque central</w:t>
      </w:r>
      <w:r w:rsidR="001F6CD1" w:rsidRPr="00087536">
        <w:rPr>
          <w:rFonts w:ascii="Arial" w:eastAsia="Times New Roman" w:hAnsi="Arial" w:cs="Arial"/>
        </w:rPr>
        <w:t>e</w:t>
      </w:r>
      <w:r w:rsidRPr="00087536">
        <w:rPr>
          <w:rFonts w:ascii="Arial" w:eastAsia="Times New Roman" w:hAnsi="Arial" w:cs="Arial"/>
        </w:rPr>
        <w:t xml:space="preserve"> nationale</w:t>
      </w:r>
      <w:r w:rsidR="00DF03B3" w:rsidRPr="00087536">
        <w:rPr>
          <w:rFonts w:ascii="Arial" w:eastAsia="Times New Roman" w:hAnsi="Arial" w:cs="Arial"/>
        </w:rPr>
        <w:t>.</w:t>
      </w:r>
      <w:r w:rsidR="001C0DD6" w:rsidRPr="00087536">
        <w:rPr>
          <w:rFonts w:ascii="Arial" w:eastAsia="Times New Roman" w:hAnsi="Arial" w:cs="Arial"/>
        </w:rPr>
        <w:t xml:space="preserve"> D</w:t>
      </w:r>
      <w:r w:rsidR="00BB3474" w:rsidRPr="00087536">
        <w:rPr>
          <w:rFonts w:ascii="Arial" w:eastAsia="Times New Roman" w:hAnsi="Arial" w:cs="Arial"/>
        </w:rPr>
        <w:t>es mécanismes de coopération entre les autorités</w:t>
      </w:r>
      <w:r w:rsidR="001C0DD6" w:rsidRPr="00087536">
        <w:rPr>
          <w:rFonts w:ascii="Arial" w:eastAsia="Times New Roman" w:hAnsi="Arial" w:cs="Arial"/>
        </w:rPr>
        <w:t xml:space="preserve"> compétentes sont à mettre en place, ainsi qu’un échange d’informations </w:t>
      </w:r>
      <w:r w:rsidR="00BB3474" w:rsidRPr="00087536">
        <w:rPr>
          <w:rFonts w:ascii="Arial" w:eastAsia="Times New Roman" w:hAnsi="Arial" w:cs="Arial"/>
        </w:rPr>
        <w:t>au niveau transfrontalier, notamment en informant</w:t>
      </w:r>
      <w:r w:rsidR="001C0DD6" w:rsidRPr="00087536">
        <w:rPr>
          <w:rFonts w:ascii="Arial" w:eastAsia="Times New Roman" w:hAnsi="Arial" w:cs="Arial"/>
        </w:rPr>
        <w:t xml:space="preserve"> </w:t>
      </w:r>
      <w:r w:rsidR="00BB3474" w:rsidRPr="00087536">
        <w:rPr>
          <w:rFonts w:ascii="Arial" w:eastAsia="Times New Roman" w:hAnsi="Arial" w:cs="Arial"/>
        </w:rPr>
        <w:t>le CERS des mesures prises</w:t>
      </w:r>
      <w:r w:rsidR="001C0DD6" w:rsidRPr="00087536">
        <w:rPr>
          <w:rFonts w:ascii="Arial" w:eastAsia="Times New Roman" w:hAnsi="Arial" w:cs="Arial"/>
        </w:rPr>
        <w:t xml:space="preserve">. </w:t>
      </w:r>
    </w:p>
    <w:p w:rsidR="00A01246" w:rsidRPr="00087536" w:rsidRDefault="001C0DD6" w:rsidP="009716BD">
      <w:pPr>
        <w:pStyle w:val="Paragraphedeliste"/>
        <w:numPr>
          <w:ilvl w:val="0"/>
          <w:numId w:val="24"/>
        </w:numPr>
        <w:spacing w:line="240" w:lineRule="auto"/>
        <w:jc w:val="both"/>
      </w:pPr>
      <w:r w:rsidRPr="00087536">
        <w:rPr>
          <w:rFonts w:ascii="Arial" w:eastAsia="Times New Roman" w:hAnsi="Arial" w:cs="Arial"/>
        </w:rPr>
        <w:t xml:space="preserve">La </w:t>
      </w:r>
      <w:r w:rsidR="00936746" w:rsidRPr="00087536">
        <w:rPr>
          <w:rFonts w:ascii="Arial" w:eastAsia="Times New Roman" w:hAnsi="Arial" w:cs="Arial"/>
        </w:rPr>
        <w:t>recommandation</w:t>
      </w:r>
      <w:r w:rsidRPr="00087536">
        <w:rPr>
          <w:rFonts w:ascii="Arial" w:eastAsia="Times New Roman" w:hAnsi="Arial" w:cs="Arial"/>
        </w:rPr>
        <w:t xml:space="preserve"> </w:t>
      </w:r>
      <w:r w:rsidRPr="00087536">
        <w:rPr>
          <w:rFonts w:ascii="Arial" w:eastAsia="Times New Roman" w:hAnsi="Arial" w:cs="Arial"/>
          <w:bCs/>
        </w:rPr>
        <w:t xml:space="preserve">CERS/2013/1, émise le 4 avril 2013 et concernant les objectifs intermédiaires et les instruments de la politique macroprudentielle, </w:t>
      </w:r>
      <w:r w:rsidR="006C3F9B" w:rsidRPr="00087536">
        <w:rPr>
          <w:rFonts w:ascii="Arial" w:eastAsia="Times New Roman" w:hAnsi="Arial" w:cs="Arial"/>
          <w:bCs/>
        </w:rPr>
        <w:t>a précisé</w:t>
      </w:r>
      <w:r w:rsidRPr="00087536">
        <w:rPr>
          <w:rFonts w:ascii="Arial" w:eastAsia="Times New Roman" w:hAnsi="Arial" w:cs="Arial"/>
          <w:bCs/>
        </w:rPr>
        <w:t xml:space="preserve"> des instruments macroprudentiels à utiliser afin de maintenir la stabilité du système financier dans son entièreté. </w:t>
      </w:r>
    </w:p>
    <w:p w:rsidR="00A670BE" w:rsidRPr="00087536" w:rsidRDefault="009716BD" w:rsidP="00C506AC">
      <w:pPr>
        <w:jc w:val="both"/>
        <w:rPr>
          <w:rFonts w:ascii="Arial" w:hAnsi="Arial"/>
          <w:sz w:val="22"/>
          <w:szCs w:val="22"/>
          <w:lang w:val="fr-FR"/>
        </w:rPr>
      </w:pPr>
      <w:r>
        <w:rPr>
          <w:rFonts w:ascii="Arial" w:hAnsi="Arial"/>
          <w:sz w:val="22"/>
          <w:szCs w:val="22"/>
          <w:lang w:val="fr-FR"/>
        </w:rPr>
        <w:lastRenderedPageBreak/>
        <w:t>D</w:t>
      </w:r>
      <w:r w:rsidR="00A670BE" w:rsidRPr="00087536">
        <w:rPr>
          <w:rFonts w:ascii="Arial" w:hAnsi="Arial"/>
          <w:sz w:val="22"/>
          <w:szCs w:val="22"/>
          <w:lang w:val="fr-FR"/>
        </w:rPr>
        <w:t>ésormais le centre de gravité de l’architecture institutionnelle qui gouverne la surveillance du secteur financier, tant micro- que macro-prudentielle, ne se trouve plus au niveau national, mais au niveau européen. Cette évolution</w:t>
      </w:r>
      <w:r w:rsidR="002C1855" w:rsidRPr="00087536">
        <w:rPr>
          <w:rFonts w:ascii="Arial" w:hAnsi="Arial"/>
          <w:sz w:val="22"/>
          <w:szCs w:val="22"/>
          <w:lang w:val="fr-FR"/>
        </w:rPr>
        <w:t xml:space="preserve"> s’est produite </w:t>
      </w:r>
      <w:r w:rsidR="002E5319" w:rsidRPr="00087536">
        <w:rPr>
          <w:rFonts w:ascii="Arial" w:hAnsi="Arial"/>
          <w:sz w:val="22"/>
          <w:szCs w:val="22"/>
          <w:lang w:val="fr-FR"/>
        </w:rPr>
        <w:t>via</w:t>
      </w:r>
      <w:r w:rsidR="002C1855" w:rsidRPr="00087536">
        <w:rPr>
          <w:rFonts w:ascii="Arial" w:hAnsi="Arial"/>
          <w:sz w:val="22"/>
          <w:szCs w:val="22"/>
          <w:lang w:val="fr-FR"/>
        </w:rPr>
        <w:t xml:space="preserve"> </w:t>
      </w:r>
      <w:r w:rsidR="00A670BE" w:rsidRPr="00087536">
        <w:rPr>
          <w:rFonts w:ascii="Arial" w:hAnsi="Arial"/>
          <w:sz w:val="22"/>
          <w:szCs w:val="22"/>
          <w:lang w:val="fr-FR"/>
        </w:rPr>
        <w:t xml:space="preserve">la mise en place début 2011 du système européen de surveillance financière (SESF) et plus récemment avec l’avènement de l’Union bancaire, </w:t>
      </w:r>
      <w:r w:rsidR="002E5319" w:rsidRPr="00087536">
        <w:rPr>
          <w:rFonts w:ascii="Arial" w:hAnsi="Arial"/>
          <w:sz w:val="22"/>
          <w:szCs w:val="22"/>
          <w:lang w:val="fr-FR"/>
        </w:rPr>
        <w:t xml:space="preserve">dont le premier pilier, i.e. le mécanisme de surveillance unique </w:t>
      </w:r>
      <w:r w:rsidR="00A670BE" w:rsidRPr="00087536">
        <w:rPr>
          <w:rFonts w:ascii="Arial" w:hAnsi="Arial"/>
          <w:sz w:val="22"/>
          <w:szCs w:val="22"/>
          <w:lang w:val="fr-FR"/>
        </w:rPr>
        <w:t xml:space="preserve">est </w:t>
      </w:r>
      <w:r w:rsidR="002E5319" w:rsidRPr="00087536">
        <w:rPr>
          <w:rFonts w:ascii="Arial" w:hAnsi="Arial"/>
          <w:sz w:val="22"/>
          <w:szCs w:val="22"/>
          <w:lang w:val="fr-FR"/>
        </w:rPr>
        <w:t>pleinement opérationnel</w:t>
      </w:r>
      <w:r w:rsidR="002E5319" w:rsidRPr="00DC0235">
        <w:rPr>
          <w:lang w:val="fr-LU"/>
        </w:rPr>
        <w:t xml:space="preserve"> </w:t>
      </w:r>
      <w:r w:rsidR="002E5319" w:rsidRPr="00087536">
        <w:rPr>
          <w:rFonts w:ascii="Arial" w:hAnsi="Arial"/>
          <w:sz w:val="22"/>
          <w:szCs w:val="22"/>
          <w:lang w:val="fr-FR"/>
        </w:rPr>
        <w:t>depuis le 4 novembre 2014</w:t>
      </w:r>
      <w:r w:rsidR="00A670BE" w:rsidRPr="00087536">
        <w:rPr>
          <w:rFonts w:ascii="Arial" w:hAnsi="Arial"/>
          <w:sz w:val="22"/>
          <w:szCs w:val="22"/>
          <w:lang w:val="fr-FR"/>
        </w:rPr>
        <w:t xml:space="preserve">. </w:t>
      </w:r>
      <w:r>
        <w:rPr>
          <w:rFonts w:ascii="Arial" w:hAnsi="Arial"/>
          <w:sz w:val="22"/>
          <w:szCs w:val="22"/>
          <w:lang w:val="fr-FR"/>
        </w:rPr>
        <w:t>Pour</w:t>
      </w:r>
      <w:r w:rsidR="00A670BE" w:rsidRPr="00087536">
        <w:rPr>
          <w:rFonts w:ascii="Arial" w:hAnsi="Arial"/>
          <w:sz w:val="22"/>
          <w:szCs w:val="22"/>
          <w:lang w:val="fr-FR"/>
        </w:rPr>
        <w:t xml:space="preserve"> ce qui est de la surveillance des banques et de la surveillance macro-prudentielle de manière plus générale, c’est désormais la BCE, et par extension le CERS, qui en est au centre.</w:t>
      </w:r>
    </w:p>
    <w:p w:rsidR="00A670BE" w:rsidRPr="00087536" w:rsidRDefault="00A670BE" w:rsidP="00C506AC">
      <w:pPr>
        <w:jc w:val="both"/>
        <w:rPr>
          <w:rFonts w:ascii="Arial" w:hAnsi="Arial" w:cs="Arial"/>
          <w:sz w:val="22"/>
          <w:szCs w:val="22"/>
          <w:lang w:val="fr-FR"/>
        </w:rPr>
      </w:pPr>
    </w:p>
    <w:p w:rsidR="002C1855" w:rsidRPr="00087536" w:rsidRDefault="002C1855" w:rsidP="00C506AC">
      <w:pPr>
        <w:jc w:val="both"/>
        <w:rPr>
          <w:rFonts w:ascii="Arial" w:hAnsi="Arial" w:cs="Arial"/>
          <w:sz w:val="22"/>
          <w:szCs w:val="22"/>
          <w:u w:val="single"/>
          <w:lang w:val="fr-FR"/>
        </w:rPr>
      </w:pPr>
      <w:r w:rsidRPr="00087536">
        <w:rPr>
          <w:rFonts w:ascii="Arial" w:hAnsi="Arial" w:cs="Arial"/>
          <w:sz w:val="22"/>
          <w:szCs w:val="22"/>
          <w:u w:val="single"/>
          <w:lang w:val="fr-FR"/>
        </w:rPr>
        <w:t xml:space="preserve">Un </w:t>
      </w:r>
      <w:r w:rsidRPr="00087536">
        <w:rPr>
          <w:rFonts w:ascii="Arial" w:eastAsia="Times New Roman" w:hAnsi="Arial" w:cs="Arial"/>
          <w:sz w:val="22"/>
          <w:szCs w:val="22"/>
          <w:u w:val="single"/>
          <w:lang w:val="fr-FR"/>
        </w:rPr>
        <w:t>comité du risque systémique pour le Luxembourg</w:t>
      </w:r>
    </w:p>
    <w:p w:rsidR="002C1855" w:rsidRPr="00087536" w:rsidRDefault="002C1855" w:rsidP="00C506AC">
      <w:pPr>
        <w:jc w:val="both"/>
        <w:rPr>
          <w:rFonts w:ascii="Arial" w:hAnsi="Arial" w:cs="Arial"/>
          <w:sz w:val="22"/>
          <w:szCs w:val="22"/>
          <w:lang w:val="fr-FR"/>
        </w:rPr>
      </w:pPr>
    </w:p>
    <w:p w:rsidR="002C1855" w:rsidRPr="00087536" w:rsidRDefault="003D1241" w:rsidP="00C506AC">
      <w:pPr>
        <w:jc w:val="both"/>
        <w:rPr>
          <w:rFonts w:ascii="Arial" w:hAnsi="Arial" w:cs="Arial"/>
          <w:sz w:val="22"/>
          <w:szCs w:val="22"/>
          <w:lang w:val="fr-FR"/>
        </w:rPr>
      </w:pPr>
      <w:r w:rsidRPr="00087536">
        <w:rPr>
          <w:rFonts w:ascii="Arial" w:hAnsi="Arial" w:cs="Arial"/>
          <w:sz w:val="22"/>
          <w:szCs w:val="22"/>
          <w:lang w:val="fr-FR"/>
        </w:rPr>
        <w:t xml:space="preserve">Le projet de loi sous rubrique propose </w:t>
      </w:r>
      <w:r w:rsidR="002C1855" w:rsidRPr="00087536">
        <w:rPr>
          <w:rFonts w:ascii="Arial" w:hAnsi="Arial" w:cs="Arial"/>
          <w:sz w:val="22"/>
          <w:szCs w:val="22"/>
          <w:lang w:val="fr-FR"/>
        </w:rPr>
        <w:t xml:space="preserve">de suivre les deux recommandations </w:t>
      </w:r>
      <w:r w:rsidR="0080559D" w:rsidRPr="00087536">
        <w:rPr>
          <w:rFonts w:ascii="Arial" w:hAnsi="Arial" w:cs="Arial"/>
          <w:sz w:val="22"/>
          <w:szCs w:val="22"/>
          <w:lang w:val="fr-FR"/>
        </w:rPr>
        <w:t xml:space="preserve">susmentionnées </w:t>
      </w:r>
      <w:r w:rsidR="002C1855" w:rsidRPr="00087536">
        <w:rPr>
          <w:rFonts w:ascii="Arial" w:hAnsi="Arial" w:cs="Arial"/>
          <w:sz w:val="22"/>
          <w:szCs w:val="22"/>
          <w:lang w:val="fr-FR"/>
        </w:rPr>
        <w:t xml:space="preserve">du CERS et </w:t>
      </w:r>
      <w:r w:rsidRPr="00087536">
        <w:rPr>
          <w:rFonts w:ascii="Arial" w:eastAsia="Times New Roman" w:hAnsi="Arial" w:cs="Arial"/>
          <w:sz w:val="22"/>
          <w:szCs w:val="22"/>
          <w:lang w:val="fr-FR"/>
        </w:rPr>
        <w:t>de mettre en place au</w:t>
      </w:r>
      <w:r w:rsidRPr="00087536">
        <w:rPr>
          <w:rFonts w:ascii="Arial" w:hAnsi="Arial" w:cs="Arial"/>
          <w:sz w:val="22"/>
          <w:szCs w:val="22"/>
          <w:lang w:val="fr-FR"/>
        </w:rPr>
        <w:t xml:space="preserve"> </w:t>
      </w:r>
      <w:r w:rsidRPr="00087536">
        <w:rPr>
          <w:rFonts w:ascii="Arial" w:eastAsia="Times New Roman" w:hAnsi="Arial" w:cs="Arial"/>
          <w:sz w:val="22"/>
          <w:szCs w:val="22"/>
          <w:lang w:val="fr-FR"/>
        </w:rPr>
        <w:t>Luxembourg un comité, appelé comité du risque systémique</w:t>
      </w:r>
      <w:r w:rsidR="002C1855" w:rsidRPr="00087536">
        <w:rPr>
          <w:rFonts w:ascii="Arial" w:eastAsia="Times New Roman" w:hAnsi="Arial" w:cs="Arial"/>
          <w:sz w:val="22"/>
          <w:szCs w:val="22"/>
          <w:lang w:val="fr-FR"/>
        </w:rPr>
        <w:t>,</w:t>
      </w:r>
      <w:r w:rsidRPr="00087536">
        <w:rPr>
          <w:rFonts w:ascii="Arial" w:eastAsia="Times New Roman" w:hAnsi="Arial" w:cs="Arial"/>
          <w:sz w:val="22"/>
          <w:szCs w:val="22"/>
          <w:lang w:val="fr-FR"/>
        </w:rPr>
        <w:t xml:space="preserve"> composé des autorité</w:t>
      </w:r>
      <w:r w:rsidRPr="00087536">
        <w:rPr>
          <w:rFonts w:ascii="Arial" w:hAnsi="Arial" w:cs="Arial"/>
          <w:sz w:val="22"/>
          <w:szCs w:val="22"/>
          <w:lang w:val="fr-FR"/>
        </w:rPr>
        <w:t xml:space="preserve">s </w:t>
      </w:r>
      <w:r w:rsidRPr="00087536">
        <w:rPr>
          <w:rFonts w:ascii="Arial" w:eastAsia="Times New Roman" w:hAnsi="Arial" w:cs="Arial"/>
          <w:sz w:val="22"/>
          <w:szCs w:val="22"/>
          <w:lang w:val="fr-FR"/>
        </w:rPr>
        <w:t>impliquées dans la réglementation et la surveillance du système financier et dont les mesures ont</w:t>
      </w:r>
      <w:r w:rsidRPr="00087536">
        <w:rPr>
          <w:rFonts w:ascii="Arial" w:hAnsi="Arial" w:cs="Arial"/>
          <w:sz w:val="22"/>
          <w:szCs w:val="22"/>
          <w:lang w:val="fr-FR"/>
        </w:rPr>
        <w:t xml:space="preserve"> </w:t>
      </w:r>
      <w:r w:rsidRPr="00087536">
        <w:rPr>
          <w:rFonts w:ascii="Arial" w:eastAsia="Times New Roman" w:hAnsi="Arial" w:cs="Arial"/>
          <w:sz w:val="22"/>
          <w:szCs w:val="22"/>
          <w:lang w:val="fr-FR"/>
        </w:rPr>
        <w:t>une influence importan</w:t>
      </w:r>
      <w:r w:rsidRPr="00087536">
        <w:rPr>
          <w:rFonts w:ascii="Arial" w:hAnsi="Arial" w:cs="Arial"/>
          <w:sz w:val="22"/>
          <w:szCs w:val="22"/>
          <w:lang w:val="fr-FR"/>
        </w:rPr>
        <w:t>te sur la stabilité financière. Il s’agit</w:t>
      </w:r>
      <w:r w:rsidR="002C1855" w:rsidRPr="00087536">
        <w:rPr>
          <w:rFonts w:ascii="Arial" w:hAnsi="Arial" w:cs="Arial"/>
          <w:sz w:val="22"/>
          <w:szCs w:val="22"/>
          <w:lang w:val="fr-FR"/>
        </w:rPr>
        <w:t xml:space="preserve"> en l’occurrence</w:t>
      </w:r>
    </w:p>
    <w:p w:rsidR="002C1855" w:rsidRPr="00087536" w:rsidRDefault="002C1855" w:rsidP="00C506AC">
      <w:pPr>
        <w:jc w:val="both"/>
        <w:rPr>
          <w:rFonts w:ascii="Arial" w:hAnsi="Arial" w:cs="Arial"/>
          <w:sz w:val="22"/>
          <w:szCs w:val="22"/>
          <w:lang w:val="fr-FR"/>
        </w:rPr>
      </w:pPr>
    </w:p>
    <w:p w:rsidR="002C1855" w:rsidRPr="00087536" w:rsidRDefault="003D1241" w:rsidP="002C1855">
      <w:pPr>
        <w:pStyle w:val="Paragraphedeliste"/>
        <w:numPr>
          <w:ilvl w:val="0"/>
          <w:numId w:val="26"/>
        </w:numPr>
        <w:jc w:val="both"/>
        <w:rPr>
          <w:rFonts w:ascii="Arial" w:eastAsia="Cambria" w:hAnsi="Arial" w:cs="Arial"/>
        </w:rPr>
      </w:pPr>
      <w:r w:rsidRPr="00087536">
        <w:rPr>
          <w:rFonts w:ascii="Arial" w:hAnsi="Arial" w:cs="Arial"/>
        </w:rPr>
        <w:t xml:space="preserve">du </w:t>
      </w:r>
      <w:r w:rsidRPr="00087536">
        <w:rPr>
          <w:rFonts w:ascii="Arial" w:eastAsia="Times New Roman" w:hAnsi="Arial" w:cs="Arial"/>
        </w:rPr>
        <w:t xml:space="preserve">Ministère </w:t>
      </w:r>
      <w:r w:rsidR="002C1855" w:rsidRPr="00087536">
        <w:rPr>
          <w:rFonts w:ascii="Arial" w:hAnsi="Arial" w:cs="Arial"/>
        </w:rPr>
        <w:t>des Finances,</w:t>
      </w:r>
    </w:p>
    <w:p w:rsidR="002C1855" w:rsidRPr="00087536" w:rsidRDefault="002C1855" w:rsidP="002C1855">
      <w:pPr>
        <w:pStyle w:val="Paragraphedeliste"/>
        <w:numPr>
          <w:ilvl w:val="0"/>
          <w:numId w:val="26"/>
        </w:numPr>
        <w:jc w:val="both"/>
        <w:rPr>
          <w:rFonts w:ascii="Arial" w:eastAsia="Cambria" w:hAnsi="Arial" w:cs="Arial"/>
        </w:rPr>
      </w:pPr>
      <w:r w:rsidRPr="00087536">
        <w:rPr>
          <w:rFonts w:ascii="Arial" w:hAnsi="Arial" w:cs="Arial"/>
        </w:rPr>
        <w:t xml:space="preserve">de </w:t>
      </w:r>
      <w:r w:rsidRPr="00087536">
        <w:rPr>
          <w:rFonts w:ascii="Arial" w:eastAsia="Times New Roman" w:hAnsi="Arial" w:cs="Arial"/>
        </w:rPr>
        <w:t>la B</w:t>
      </w:r>
      <w:r w:rsidR="003D1241" w:rsidRPr="00087536">
        <w:rPr>
          <w:rFonts w:ascii="Arial" w:eastAsia="Times New Roman" w:hAnsi="Arial" w:cs="Arial"/>
        </w:rPr>
        <w:t>anq</w:t>
      </w:r>
      <w:r w:rsidRPr="00087536">
        <w:rPr>
          <w:rFonts w:ascii="Arial" w:eastAsia="Times New Roman" w:hAnsi="Arial" w:cs="Arial"/>
        </w:rPr>
        <w:t>ue centrale du Luxemburg (BCL),</w:t>
      </w:r>
    </w:p>
    <w:p w:rsidR="002C1855" w:rsidRPr="00087536" w:rsidRDefault="002C1855" w:rsidP="002C1855">
      <w:pPr>
        <w:pStyle w:val="Paragraphedeliste"/>
        <w:numPr>
          <w:ilvl w:val="0"/>
          <w:numId w:val="26"/>
        </w:numPr>
        <w:jc w:val="both"/>
        <w:rPr>
          <w:rFonts w:ascii="Arial" w:eastAsia="Cambria" w:hAnsi="Arial" w:cs="Arial"/>
        </w:rPr>
      </w:pPr>
      <w:r w:rsidRPr="00087536">
        <w:rPr>
          <w:rFonts w:ascii="Arial" w:eastAsia="Times New Roman" w:hAnsi="Arial" w:cs="Arial"/>
        </w:rPr>
        <w:t xml:space="preserve">de </w:t>
      </w:r>
      <w:r w:rsidR="003D1241" w:rsidRPr="00087536">
        <w:rPr>
          <w:rFonts w:ascii="Arial" w:eastAsia="Times New Roman" w:hAnsi="Arial" w:cs="Arial"/>
        </w:rPr>
        <w:t xml:space="preserve">la </w:t>
      </w:r>
      <w:r w:rsidR="003D1241" w:rsidRPr="00087536">
        <w:rPr>
          <w:rFonts w:ascii="Arial" w:eastAsia="Times New Roman" w:hAnsi="Arial" w:cs="Arial"/>
          <w:bCs/>
        </w:rPr>
        <w:t>Commission de Surveillance du Secteur Financier (CSSF)</w:t>
      </w:r>
      <w:r w:rsidRPr="00087536">
        <w:rPr>
          <w:rFonts w:ascii="Arial" w:eastAsia="Times New Roman" w:hAnsi="Arial" w:cs="Arial"/>
        </w:rPr>
        <w:t xml:space="preserve"> et</w:t>
      </w:r>
    </w:p>
    <w:p w:rsidR="002C1855" w:rsidRPr="00087536" w:rsidRDefault="002C1855" w:rsidP="002C1855">
      <w:pPr>
        <w:pStyle w:val="Paragraphedeliste"/>
        <w:numPr>
          <w:ilvl w:val="0"/>
          <w:numId w:val="26"/>
        </w:numPr>
        <w:jc w:val="both"/>
        <w:rPr>
          <w:rFonts w:ascii="Arial" w:eastAsia="Cambria" w:hAnsi="Arial" w:cs="Arial"/>
        </w:rPr>
      </w:pPr>
      <w:r w:rsidRPr="00087536">
        <w:rPr>
          <w:rFonts w:ascii="Arial" w:eastAsia="Times New Roman" w:hAnsi="Arial" w:cs="Arial"/>
        </w:rPr>
        <w:t>du</w:t>
      </w:r>
      <w:r w:rsidR="003D1241" w:rsidRPr="00087536">
        <w:rPr>
          <w:rFonts w:ascii="Arial" w:eastAsia="Times New Roman" w:hAnsi="Arial" w:cs="Arial"/>
        </w:rPr>
        <w:t xml:space="preserve"> Commissariat aux assurances.</w:t>
      </w:r>
    </w:p>
    <w:p w:rsidR="003D1241" w:rsidRPr="00087536" w:rsidRDefault="009D22FB" w:rsidP="002C1855">
      <w:pPr>
        <w:jc w:val="both"/>
        <w:rPr>
          <w:rFonts w:ascii="Arial" w:hAnsi="Arial" w:cs="Arial"/>
          <w:sz w:val="22"/>
          <w:szCs w:val="22"/>
          <w:lang w:val="fr-FR"/>
        </w:rPr>
      </w:pPr>
      <w:r>
        <w:rPr>
          <w:rFonts w:ascii="Arial" w:eastAsia="Times New Roman" w:hAnsi="Arial" w:cs="Arial"/>
          <w:sz w:val="22"/>
          <w:szCs w:val="22"/>
          <w:lang w:val="fr-FR"/>
        </w:rPr>
        <w:t>L</w:t>
      </w:r>
      <w:r w:rsidR="004C338A" w:rsidRPr="00087536">
        <w:rPr>
          <w:rFonts w:ascii="Arial" w:hAnsi="Arial"/>
          <w:sz w:val="22"/>
          <w:szCs w:val="22"/>
          <w:lang w:val="fr-FR"/>
        </w:rPr>
        <w:t>a composition et la gouvernance du comité du risque systémique, telles que prévues par le projet de loi, sont le fruit d’une étroite concertation entre toutes les autorités qui seront membres du comité et tirent d’ores et déjà les leçons des modifications législatives récentes introduites par d’autres Etats membres de l’Union</w:t>
      </w:r>
      <w:r w:rsidR="0080559D" w:rsidRPr="00087536">
        <w:rPr>
          <w:rFonts w:ascii="Arial" w:hAnsi="Arial"/>
          <w:sz w:val="22"/>
          <w:szCs w:val="22"/>
          <w:lang w:val="fr-FR"/>
        </w:rPr>
        <w:t xml:space="preserve"> européenne</w:t>
      </w:r>
      <w:r w:rsidR="004C338A" w:rsidRPr="00087536">
        <w:rPr>
          <w:rFonts w:ascii="Arial" w:hAnsi="Arial"/>
          <w:sz w:val="22"/>
          <w:szCs w:val="22"/>
          <w:lang w:val="fr-FR"/>
        </w:rPr>
        <w:t>, qui certifient que le modèle préconisé est à la hauteur des recommandations. Elle s’inspire des modèles de surveillance macro-prudentielle mis en place dans certains de nos pays voisins, notamment l’Allemagne, en veillant aux particularités du Luxembourg et de son secteur financier.</w:t>
      </w:r>
    </w:p>
    <w:p w:rsidR="006C1F4E" w:rsidRPr="00087536" w:rsidRDefault="006C1F4E" w:rsidP="00C506AC">
      <w:pPr>
        <w:jc w:val="both"/>
        <w:rPr>
          <w:rFonts w:ascii="Arial" w:eastAsia="Times New Roman" w:hAnsi="Arial" w:cs="Arial"/>
          <w:sz w:val="22"/>
          <w:szCs w:val="22"/>
          <w:lang w:val="fr-FR"/>
        </w:rPr>
      </w:pPr>
    </w:p>
    <w:p w:rsidR="006C1F4E" w:rsidRPr="00087536" w:rsidRDefault="006C1F4E" w:rsidP="00C506AC">
      <w:pPr>
        <w:widowControl w:val="0"/>
        <w:autoSpaceDE w:val="0"/>
        <w:autoSpaceDN w:val="0"/>
        <w:adjustRightInd w:val="0"/>
        <w:jc w:val="both"/>
        <w:rPr>
          <w:rFonts w:ascii="Arial" w:eastAsia="Times New Roman" w:hAnsi="Arial" w:cs="Arial"/>
          <w:sz w:val="22"/>
          <w:szCs w:val="22"/>
          <w:lang w:val="fr-FR"/>
        </w:rPr>
      </w:pPr>
      <w:r w:rsidRPr="00087536">
        <w:rPr>
          <w:rFonts w:ascii="Arial" w:eastAsia="Times New Roman" w:hAnsi="Arial" w:cs="Arial"/>
          <w:sz w:val="22"/>
          <w:szCs w:val="22"/>
          <w:lang w:val="fr-FR"/>
        </w:rPr>
        <w:t xml:space="preserve">Le comité a pour mission de coordonner la mise en </w:t>
      </w:r>
      <w:r w:rsidR="0080559D" w:rsidRPr="00087536">
        <w:rPr>
          <w:rFonts w:ascii="Arial" w:eastAsia="Times New Roman" w:hAnsi="Arial" w:cs="Arial"/>
          <w:sz w:val="22"/>
          <w:szCs w:val="22"/>
          <w:lang w:val="fr-FR"/>
        </w:rPr>
        <w:t>œuvre</w:t>
      </w:r>
      <w:r w:rsidRPr="00087536">
        <w:rPr>
          <w:rFonts w:ascii="Arial" w:eastAsia="Times New Roman" w:hAnsi="Arial" w:cs="Arial"/>
          <w:sz w:val="22"/>
          <w:szCs w:val="22"/>
          <w:lang w:val="fr-FR"/>
        </w:rPr>
        <w:t xml:space="preserve"> de la politique macroprudentielle. Il est donc appelé à renforcer la résilience du système financier  e</w:t>
      </w:r>
      <w:r w:rsidR="00087536" w:rsidRPr="00087536">
        <w:rPr>
          <w:rFonts w:ascii="Arial" w:eastAsia="Times New Roman" w:hAnsi="Arial" w:cs="Arial"/>
          <w:sz w:val="22"/>
          <w:szCs w:val="22"/>
          <w:lang w:val="fr-FR"/>
        </w:rPr>
        <w:t>n</w:t>
      </w:r>
      <w:r w:rsidRPr="00087536">
        <w:rPr>
          <w:rFonts w:ascii="Arial" w:eastAsia="Times New Roman" w:hAnsi="Arial" w:cs="Arial"/>
          <w:sz w:val="22"/>
          <w:szCs w:val="22"/>
          <w:lang w:val="fr-FR"/>
        </w:rPr>
        <w:t xml:space="preserve"> diminuant l’accumulation de risques systémiques</w:t>
      </w:r>
      <w:r w:rsidR="0080559D" w:rsidRPr="00087536">
        <w:rPr>
          <w:rFonts w:ascii="Arial" w:eastAsia="Times New Roman" w:hAnsi="Arial" w:cs="Arial"/>
          <w:sz w:val="22"/>
          <w:szCs w:val="22"/>
          <w:lang w:val="fr-FR"/>
        </w:rPr>
        <w:t xml:space="preserve"> et à</w:t>
      </w:r>
      <w:r w:rsidR="003B1222" w:rsidRPr="00087536">
        <w:rPr>
          <w:rFonts w:ascii="Arial" w:eastAsia="Times New Roman" w:hAnsi="Arial" w:cs="Arial"/>
          <w:sz w:val="22"/>
          <w:szCs w:val="22"/>
          <w:lang w:val="fr-FR"/>
        </w:rPr>
        <w:t xml:space="preserve"> contribuer ainsi à</w:t>
      </w:r>
      <w:r w:rsidRPr="00087536">
        <w:rPr>
          <w:rFonts w:ascii="Arial" w:eastAsia="Times New Roman" w:hAnsi="Arial" w:cs="Arial"/>
          <w:sz w:val="22"/>
          <w:szCs w:val="22"/>
          <w:lang w:val="fr-FR"/>
        </w:rPr>
        <w:t xml:space="preserve"> assur</w:t>
      </w:r>
      <w:r w:rsidR="0080559D" w:rsidRPr="00087536">
        <w:rPr>
          <w:rFonts w:ascii="Arial" w:eastAsia="Times New Roman" w:hAnsi="Arial" w:cs="Arial"/>
          <w:sz w:val="22"/>
          <w:szCs w:val="22"/>
          <w:lang w:val="fr-FR"/>
        </w:rPr>
        <w:t>er</w:t>
      </w:r>
      <w:r w:rsidRPr="00087536">
        <w:rPr>
          <w:rFonts w:ascii="Arial" w:eastAsia="Times New Roman" w:hAnsi="Arial" w:cs="Arial"/>
          <w:sz w:val="22"/>
          <w:szCs w:val="22"/>
          <w:lang w:val="fr-FR"/>
        </w:rPr>
        <w:t xml:space="preserve"> une contribution durable du secteur financier à la croissance économique. </w:t>
      </w:r>
      <w:r w:rsidRPr="00087536">
        <w:rPr>
          <w:rFonts w:ascii="Arial" w:eastAsia="Times New Roman" w:hAnsi="Arial" w:cs="Arial"/>
          <w:i/>
          <w:sz w:val="22"/>
          <w:szCs w:val="22"/>
          <w:lang w:val="fr-FR"/>
        </w:rPr>
        <w:t>In fine</w:t>
      </w:r>
      <w:r w:rsidR="00C506AC" w:rsidRPr="00087536">
        <w:rPr>
          <w:rFonts w:ascii="Arial" w:eastAsia="Times New Roman" w:hAnsi="Arial" w:cs="Arial"/>
          <w:sz w:val="22"/>
          <w:szCs w:val="22"/>
          <w:lang w:val="fr-FR"/>
        </w:rPr>
        <w:t>, il contribue</w:t>
      </w:r>
      <w:r w:rsidR="002C1855" w:rsidRPr="00087536">
        <w:rPr>
          <w:rFonts w:ascii="Arial" w:eastAsia="Times New Roman" w:hAnsi="Arial" w:cs="Arial"/>
          <w:sz w:val="22"/>
          <w:szCs w:val="22"/>
          <w:lang w:val="fr-FR"/>
        </w:rPr>
        <w:t xml:space="preserve"> </w:t>
      </w:r>
      <w:r w:rsidRPr="00087536">
        <w:rPr>
          <w:rFonts w:ascii="Arial" w:eastAsia="Times New Roman" w:hAnsi="Arial" w:cs="Arial"/>
          <w:sz w:val="22"/>
          <w:szCs w:val="22"/>
          <w:lang w:val="fr-FR"/>
        </w:rPr>
        <w:t>au maintien de la stabilité du système financier dans son ensemble</w:t>
      </w:r>
      <w:r w:rsidR="00062605" w:rsidRPr="00087536">
        <w:rPr>
          <w:rFonts w:ascii="Arial" w:eastAsia="Times New Roman" w:hAnsi="Arial" w:cs="Arial"/>
          <w:sz w:val="22"/>
          <w:szCs w:val="22"/>
          <w:lang w:val="fr-FR"/>
        </w:rPr>
        <w:t>;</w:t>
      </w:r>
      <w:r w:rsidRPr="00087536">
        <w:rPr>
          <w:rFonts w:ascii="Arial" w:eastAsia="Times New Roman" w:hAnsi="Arial" w:cs="Arial"/>
          <w:sz w:val="22"/>
          <w:szCs w:val="22"/>
          <w:lang w:val="fr-FR"/>
        </w:rPr>
        <w:t xml:space="preserve"> son mandat couvre l’ensemble du sy</w:t>
      </w:r>
      <w:r w:rsidR="009D22FB">
        <w:rPr>
          <w:rFonts w:ascii="Arial" w:eastAsia="Times New Roman" w:hAnsi="Arial" w:cs="Arial"/>
          <w:sz w:val="22"/>
          <w:szCs w:val="22"/>
          <w:lang w:val="fr-FR"/>
        </w:rPr>
        <w:t>stème financier luxembourgeois.</w:t>
      </w:r>
    </w:p>
    <w:p w:rsidR="00D300A3" w:rsidRPr="00087536" w:rsidRDefault="00D300A3" w:rsidP="00B775CB">
      <w:pPr>
        <w:jc w:val="both"/>
        <w:rPr>
          <w:rFonts w:ascii="EUAlbertina" w:eastAsia="Times New Roman" w:hAnsi="EUAlbertina" w:cs="EUAlbertina"/>
          <w:lang w:val="fr-FR"/>
        </w:rPr>
      </w:pPr>
    </w:p>
    <w:p w:rsidR="00CD6AA6" w:rsidRPr="00087536" w:rsidRDefault="00CD6AA6" w:rsidP="00B775CB">
      <w:pPr>
        <w:jc w:val="both"/>
        <w:rPr>
          <w:rFonts w:ascii="Arial" w:hAnsi="Arial" w:cs="Arial"/>
          <w:b/>
          <w:noProof/>
          <w:sz w:val="22"/>
          <w:szCs w:val="22"/>
          <w:lang w:val="fr-FR"/>
        </w:rPr>
      </w:pPr>
    </w:p>
    <w:p w:rsidR="00ED4B0F" w:rsidRPr="009D22FB" w:rsidRDefault="00ED4B0F">
      <w:pPr>
        <w:rPr>
          <w:lang w:val="fr-LU"/>
        </w:rPr>
      </w:pPr>
    </w:p>
    <w:sectPr w:rsidR="00ED4B0F" w:rsidRPr="009D22FB" w:rsidSect="00A2499A">
      <w:headerReference w:type="even" r:id="rId8"/>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97F" w:rsidRDefault="00B9097F" w:rsidP="00B775CB">
      <w:r>
        <w:separator/>
      </w:r>
    </w:p>
  </w:endnote>
  <w:endnote w:type="continuationSeparator" w:id="0">
    <w:p w:rsidR="00B9097F" w:rsidRDefault="00B9097F"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FE7" w:rsidRDefault="00FD7FB3" w:rsidP="00215286">
    <w:pPr>
      <w:pStyle w:val="Pieddepage"/>
      <w:framePr w:wrap="around" w:vAnchor="text" w:hAnchor="margin" w:xAlign="right" w:y="1"/>
      <w:rPr>
        <w:rStyle w:val="Numrodepage"/>
      </w:rPr>
    </w:pPr>
    <w:r>
      <w:rPr>
        <w:rStyle w:val="Numrodepage"/>
      </w:rPr>
      <w:fldChar w:fldCharType="begin"/>
    </w:r>
    <w:r w:rsidR="00DB7FE7">
      <w:rPr>
        <w:rStyle w:val="Numrodepage"/>
      </w:rPr>
      <w:instrText xml:space="preserve">PAGE  </w:instrText>
    </w:r>
    <w:r>
      <w:rPr>
        <w:rStyle w:val="Numrodepage"/>
      </w:rPr>
      <w:fldChar w:fldCharType="separate"/>
    </w:r>
    <w:r w:rsidR="00CA1AC5">
      <w:rPr>
        <w:rStyle w:val="Numrodepage"/>
        <w:noProof/>
      </w:rPr>
      <w:t>1</w:t>
    </w:r>
    <w:r>
      <w:rPr>
        <w:rStyle w:val="Numrodepage"/>
      </w:rPr>
      <w:fldChar w:fldCharType="end"/>
    </w:r>
  </w:p>
  <w:p w:rsidR="00DB7FE7" w:rsidRDefault="00FD7FB3" w:rsidP="003E0B79">
    <w:pPr>
      <w:pStyle w:val="Pieddepage"/>
      <w:framePr w:wrap="around" w:vAnchor="text" w:hAnchor="margin" w:xAlign="right" w:y="1"/>
      <w:ind w:right="360"/>
      <w:rPr>
        <w:rStyle w:val="Numrodepage"/>
      </w:rPr>
    </w:pPr>
    <w:r>
      <w:rPr>
        <w:rStyle w:val="Numrodepage"/>
      </w:rPr>
      <w:fldChar w:fldCharType="begin"/>
    </w:r>
    <w:r w:rsidR="00DB7FE7">
      <w:rPr>
        <w:rStyle w:val="Numrodepage"/>
      </w:rPr>
      <w:instrText xml:space="preserve">PAGE  </w:instrText>
    </w:r>
    <w:r>
      <w:rPr>
        <w:rStyle w:val="Numrodepage"/>
      </w:rPr>
      <w:fldChar w:fldCharType="separate"/>
    </w:r>
    <w:r w:rsidR="00CA1AC5">
      <w:rPr>
        <w:rStyle w:val="Numrodepage"/>
        <w:noProof/>
      </w:rPr>
      <w:t>1</w:t>
    </w:r>
    <w:r>
      <w:rPr>
        <w:rStyle w:val="Numrodepage"/>
      </w:rPr>
      <w:fldChar w:fldCharType="end"/>
    </w:r>
  </w:p>
  <w:p w:rsidR="00DB7FE7" w:rsidRDefault="00DB7FE7" w:rsidP="003E0B7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FE7" w:rsidRDefault="00FD7FB3" w:rsidP="00A2499A">
    <w:pPr>
      <w:pStyle w:val="Pieddepage"/>
      <w:framePr w:wrap="around" w:vAnchor="text" w:hAnchor="margin" w:xAlign="right" w:y="1"/>
      <w:rPr>
        <w:rStyle w:val="Numrodepage"/>
      </w:rPr>
    </w:pPr>
    <w:r>
      <w:rPr>
        <w:rStyle w:val="Numrodepage"/>
      </w:rPr>
      <w:fldChar w:fldCharType="begin"/>
    </w:r>
    <w:r w:rsidR="00DB7FE7">
      <w:rPr>
        <w:rStyle w:val="Numrodepage"/>
      </w:rPr>
      <w:instrText xml:space="preserve">PAGE  </w:instrText>
    </w:r>
    <w:r>
      <w:rPr>
        <w:rStyle w:val="Numrodepage"/>
      </w:rPr>
      <w:fldChar w:fldCharType="separate"/>
    </w:r>
    <w:r w:rsidR="00CE4336">
      <w:rPr>
        <w:rStyle w:val="Numrodepage"/>
        <w:noProof/>
      </w:rPr>
      <w:t>1</w:t>
    </w:r>
    <w:r>
      <w:rPr>
        <w:rStyle w:val="Numrodepage"/>
      </w:rPr>
      <w:fldChar w:fldCharType="end"/>
    </w:r>
  </w:p>
  <w:p w:rsidR="00DB7FE7" w:rsidRDefault="00DB7FE7" w:rsidP="00A2499A">
    <w:pPr>
      <w:pStyle w:val="Pieddepage"/>
      <w:ind w:right="360"/>
      <w:jc w:val="center"/>
    </w:pPr>
  </w:p>
  <w:p w:rsidR="00DB7FE7" w:rsidRDefault="00DB7FE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97F" w:rsidRDefault="00B9097F" w:rsidP="00B775CB">
      <w:r>
        <w:separator/>
      </w:r>
    </w:p>
  </w:footnote>
  <w:footnote w:type="continuationSeparator" w:id="0">
    <w:p w:rsidR="00B9097F" w:rsidRDefault="00B9097F" w:rsidP="00B775CB">
      <w:r>
        <w:continuationSeparator/>
      </w:r>
    </w:p>
  </w:footnote>
  <w:footnote w:id="1">
    <w:p w:rsidR="00DB7FE7" w:rsidRPr="00DC0235" w:rsidRDefault="00DB7FE7" w:rsidP="00BB3474">
      <w:pPr>
        <w:jc w:val="both"/>
        <w:rPr>
          <w:rFonts w:ascii="Arial" w:eastAsia="Times New Roman" w:hAnsi="Arial" w:cs="Arial"/>
          <w:sz w:val="20"/>
          <w:szCs w:val="20"/>
          <w:lang w:val="fr-LU"/>
        </w:rPr>
      </w:pPr>
      <w:r w:rsidRPr="00087536">
        <w:rPr>
          <w:rStyle w:val="Appelnotedebasdep"/>
          <w:rFonts w:ascii="Arial" w:hAnsi="Arial" w:cs="Arial"/>
          <w:sz w:val="20"/>
          <w:szCs w:val="20"/>
        </w:rPr>
        <w:footnoteRef/>
      </w:r>
      <w:r w:rsidRPr="00DC0235">
        <w:rPr>
          <w:rFonts w:ascii="Arial" w:hAnsi="Arial" w:cs="Arial"/>
          <w:sz w:val="20"/>
          <w:szCs w:val="20"/>
          <w:lang w:val="fr-LU"/>
        </w:rPr>
        <w:t xml:space="preserve"> </w:t>
      </w:r>
      <w:r w:rsidR="007F47F9" w:rsidRPr="00DC0235">
        <w:rPr>
          <w:rFonts w:ascii="Arial" w:eastAsia="Times New Roman" w:hAnsi="Arial" w:cs="Arial"/>
          <w:bCs/>
          <w:sz w:val="20"/>
          <w:szCs w:val="20"/>
          <w:lang w:val="fr-LU"/>
        </w:rPr>
        <w:t>r</w:t>
      </w:r>
      <w:r w:rsidRPr="00DC0235">
        <w:rPr>
          <w:rFonts w:ascii="Arial" w:eastAsia="Times New Roman" w:hAnsi="Arial" w:cs="Arial"/>
          <w:bCs/>
          <w:sz w:val="20"/>
          <w:szCs w:val="20"/>
          <w:lang w:val="fr-LU"/>
        </w:rPr>
        <w:t>èglement (UE) n°</w:t>
      </w:r>
      <w:r w:rsidRPr="00DC0235">
        <w:rPr>
          <w:rStyle w:val="apple-converted-space"/>
          <w:rFonts w:ascii="Arial" w:eastAsia="Times New Roman" w:hAnsi="Arial" w:cs="Arial"/>
          <w:bCs/>
          <w:sz w:val="20"/>
          <w:szCs w:val="20"/>
          <w:lang w:val="fr-LU"/>
        </w:rPr>
        <w:t> </w:t>
      </w:r>
      <w:hyperlink r:id="rId1" w:tgtFrame="_blank" w:tooltip="1092/2010" w:history="1">
        <w:r w:rsidRPr="00DC0235">
          <w:rPr>
            <w:rStyle w:val="Lienhypertexte"/>
            <w:rFonts w:ascii="Arial" w:eastAsia="Times New Roman" w:hAnsi="Arial" w:cs="Arial"/>
            <w:bCs/>
            <w:color w:val="auto"/>
            <w:sz w:val="20"/>
            <w:szCs w:val="20"/>
            <w:u w:val="none"/>
            <w:lang w:val="fr-LU"/>
          </w:rPr>
          <w:t>1092/2010</w:t>
        </w:r>
      </w:hyperlink>
      <w:r w:rsidRPr="00DC0235">
        <w:rPr>
          <w:rStyle w:val="apple-converted-space"/>
          <w:rFonts w:ascii="Arial" w:eastAsia="Times New Roman" w:hAnsi="Arial" w:cs="Arial"/>
          <w:bCs/>
          <w:sz w:val="20"/>
          <w:szCs w:val="20"/>
          <w:lang w:val="fr-LU"/>
        </w:rPr>
        <w:t> </w:t>
      </w:r>
      <w:r w:rsidRPr="00DC0235">
        <w:rPr>
          <w:rFonts w:ascii="Arial" w:eastAsia="Times New Roman" w:hAnsi="Arial" w:cs="Arial"/>
          <w:bCs/>
          <w:sz w:val="20"/>
          <w:szCs w:val="20"/>
          <w:lang w:val="fr-LU"/>
        </w:rPr>
        <w:t>du Parlement européen et du Conseil du 24 novembre 2010 relatif à la surveillance macroprudentielle du système financier dans l’Union européenne et instituant un Comit</w:t>
      </w:r>
      <w:r w:rsidR="00B17B44" w:rsidRPr="00DC0235">
        <w:rPr>
          <w:rFonts w:ascii="Arial" w:eastAsia="Times New Roman" w:hAnsi="Arial" w:cs="Arial"/>
          <w:bCs/>
          <w:sz w:val="20"/>
          <w:szCs w:val="20"/>
          <w:lang w:val="fr-LU"/>
        </w:rPr>
        <w:t>é européen du risque systémique</w:t>
      </w:r>
    </w:p>
    <w:p w:rsidR="00DB7FE7" w:rsidRPr="00BB3474" w:rsidRDefault="00DB7FE7" w:rsidP="00BB3474">
      <w:pPr>
        <w:pStyle w:val="Notedebasdepage"/>
        <w:rPr>
          <w:lang w:val="fr-F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FE7" w:rsidRDefault="00FD7FB3" w:rsidP="006B704B">
    <w:pPr>
      <w:pStyle w:val="En-tte"/>
      <w:framePr w:wrap="around" w:vAnchor="text" w:hAnchor="margin" w:xAlign="center" w:y="1"/>
      <w:rPr>
        <w:rStyle w:val="Numrodepage"/>
      </w:rPr>
    </w:pPr>
    <w:r>
      <w:rPr>
        <w:rStyle w:val="Numrodepage"/>
      </w:rPr>
      <w:fldChar w:fldCharType="begin"/>
    </w:r>
    <w:r w:rsidR="00DB7FE7">
      <w:rPr>
        <w:rStyle w:val="Numrodepage"/>
      </w:rPr>
      <w:instrText xml:space="preserve">PAGE  </w:instrText>
    </w:r>
    <w:r>
      <w:rPr>
        <w:rStyle w:val="Numrodepage"/>
      </w:rPr>
      <w:fldChar w:fldCharType="separate"/>
    </w:r>
    <w:r w:rsidR="00DB7FE7">
      <w:rPr>
        <w:rStyle w:val="Numrodepage"/>
        <w:noProof/>
      </w:rPr>
      <w:t>3</w:t>
    </w:r>
    <w:r>
      <w:rPr>
        <w:rStyle w:val="Numrodepage"/>
      </w:rPr>
      <w:fldChar w:fldCharType="end"/>
    </w:r>
  </w:p>
  <w:p w:rsidR="00DB7FE7" w:rsidRDefault="00DB7FE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02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1B042979"/>
    <w:multiLevelType w:val="hybridMultilevel"/>
    <w:tmpl w:val="6C66E97E"/>
    <w:lvl w:ilvl="0" w:tplc="39B05E12">
      <w:start w:val="7"/>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1B4A22A9"/>
    <w:multiLevelType w:val="hybridMultilevel"/>
    <w:tmpl w:val="EB18A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6" w15:restartNumberingAfterBreak="0">
    <w:nsid w:val="23245FD6"/>
    <w:multiLevelType w:val="hybridMultilevel"/>
    <w:tmpl w:val="E6B0B574"/>
    <w:lvl w:ilvl="0" w:tplc="4222623A">
      <w:numFmt w:val="bullet"/>
      <w:lvlText w:val="-"/>
      <w:lvlJc w:val="left"/>
      <w:pPr>
        <w:ind w:left="2628" w:hanging="360"/>
      </w:pPr>
      <w:rPr>
        <w:rFonts w:ascii="Times New Roman" w:eastAsia="Calibri" w:hAnsi="Times New Roman" w:cs="Times New Roman" w:hint="default"/>
      </w:rPr>
    </w:lvl>
    <w:lvl w:ilvl="1" w:tplc="140C0003">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7" w15:restartNumberingAfterBreak="0">
    <w:nsid w:val="25F01442"/>
    <w:multiLevelType w:val="hybridMultilevel"/>
    <w:tmpl w:val="99EC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92B5D"/>
    <w:multiLevelType w:val="hybridMultilevel"/>
    <w:tmpl w:val="77A4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061F9"/>
    <w:multiLevelType w:val="hybridMultilevel"/>
    <w:tmpl w:val="ED2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0177E"/>
    <w:multiLevelType w:val="hybridMultilevel"/>
    <w:tmpl w:val="DBEED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76268"/>
    <w:multiLevelType w:val="hybridMultilevel"/>
    <w:tmpl w:val="F3FA5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A06DB"/>
    <w:multiLevelType w:val="hybridMultilevel"/>
    <w:tmpl w:val="5E3A5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067C04"/>
    <w:multiLevelType w:val="hybridMultilevel"/>
    <w:tmpl w:val="E8B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47F56"/>
    <w:multiLevelType w:val="hybridMultilevel"/>
    <w:tmpl w:val="A096039A"/>
    <w:lvl w:ilvl="0" w:tplc="6562EE88">
      <w:start w:val="1"/>
      <w:numFmt w:val="decimal"/>
      <w:lvlText w:val="(%1)"/>
      <w:lvlJc w:val="left"/>
      <w:pPr>
        <w:ind w:left="420" w:hanging="360"/>
      </w:pPr>
      <w:rPr>
        <w:rFonts w:hint="default"/>
      </w:rPr>
    </w:lvl>
    <w:lvl w:ilvl="1" w:tplc="140C0019" w:tentative="1">
      <w:start w:val="1"/>
      <w:numFmt w:val="lowerLetter"/>
      <w:lvlText w:val="%2."/>
      <w:lvlJc w:val="left"/>
      <w:pPr>
        <w:ind w:left="1140" w:hanging="360"/>
      </w:pPr>
    </w:lvl>
    <w:lvl w:ilvl="2" w:tplc="140C001B" w:tentative="1">
      <w:start w:val="1"/>
      <w:numFmt w:val="lowerRoman"/>
      <w:lvlText w:val="%3."/>
      <w:lvlJc w:val="right"/>
      <w:pPr>
        <w:ind w:left="1860" w:hanging="180"/>
      </w:pPr>
    </w:lvl>
    <w:lvl w:ilvl="3" w:tplc="140C000F" w:tentative="1">
      <w:start w:val="1"/>
      <w:numFmt w:val="decimal"/>
      <w:lvlText w:val="%4."/>
      <w:lvlJc w:val="left"/>
      <w:pPr>
        <w:ind w:left="2580" w:hanging="360"/>
      </w:pPr>
    </w:lvl>
    <w:lvl w:ilvl="4" w:tplc="140C0019" w:tentative="1">
      <w:start w:val="1"/>
      <w:numFmt w:val="lowerLetter"/>
      <w:lvlText w:val="%5."/>
      <w:lvlJc w:val="left"/>
      <w:pPr>
        <w:ind w:left="3300" w:hanging="360"/>
      </w:pPr>
    </w:lvl>
    <w:lvl w:ilvl="5" w:tplc="140C001B" w:tentative="1">
      <w:start w:val="1"/>
      <w:numFmt w:val="lowerRoman"/>
      <w:lvlText w:val="%6."/>
      <w:lvlJc w:val="right"/>
      <w:pPr>
        <w:ind w:left="4020" w:hanging="180"/>
      </w:pPr>
    </w:lvl>
    <w:lvl w:ilvl="6" w:tplc="140C000F" w:tentative="1">
      <w:start w:val="1"/>
      <w:numFmt w:val="decimal"/>
      <w:lvlText w:val="%7."/>
      <w:lvlJc w:val="left"/>
      <w:pPr>
        <w:ind w:left="4740" w:hanging="360"/>
      </w:pPr>
    </w:lvl>
    <w:lvl w:ilvl="7" w:tplc="140C0019" w:tentative="1">
      <w:start w:val="1"/>
      <w:numFmt w:val="lowerLetter"/>
      <w:lvlText w:val="%8."/>
      <w:lvlJc w:val="left"/>
      <w:pPr>
        <w:ind w:left="5460" w:hanging="360"/>
      </w:pPr>
    </w:lvl>
    <w:lvl w:ilvl="8" w:tplc="140C001B" w:tentative="1">
      <w:start w:val="1"/>
      <w:numFmt w:val="lowerRoman"/>
      <w:lvlText w:val="%9."/>
      <w:lvlJc w:val="right"/>
      <w:pPr>
        <w:ind w:left="6180" w:hanging="180"/>
      </w:pPr>
    </w:lvl>
  </w:abstractNum>
  <w:abstractNum w:abstractNumId="16" w15:restartNumberingAfterBreak="0">
    <w:nsid w:val="4DD36C1E"/>
    <w:multiLevelType w:val="hybridMultilevel"/>
    <w:tmpl w:val="FF725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76DDE"/>
    <w:multiLevelType w:val="hybridMultilevel"/>
    <w:tmpl w:val="5FF0FD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57BE58E4"/>
    <w:multiLevelType w:val="hybridMultilevel"/>
    <w:tmpl w:val="CE02A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20" w15:restartNumberingAfterBreak="0">
    <w:nsid w:val="5AC03B49"/>
    <w:multiLevelType w:val="hybridMultilevel"/>
    <w:tmpl w:val="3674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2205B"/>
    <w:multiLevelType w:val="hybridMultilevel"/>
    <w:tmpl w:val="7DA6D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3" w15:restartNumberingAfterBreak="0">
    <w:nsid w:val="64B67800"/>
    <w:multiLevelType w:val="hybridMultilevel"/>
    <w:tmpl w:val="E96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39771F"/>
    <w:multiLevelType w:val="hybridMultilevel"/>
    <w:tmpl w:val="48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24"/>
  </w:num>
  <w:num w:numId="4">
    <w:abstractNumId w:val="22"/>
  </w:num>
  <w:num w:numId="5">
    <w:abstractNumId w:val="5"/>
  </w:num>
  <w:num w:numId="6">
    <w:abstractNumId w:val="19"/>
  </w:num>
  <w:num w:numId="7">
    <w:abstractNumId w:val="1"/>
  </w:num>
  <w:num w:numId="8">
    <w:abstractNumId w:val="2"/>
  </w:num>
  <w:num w:numId="9">
    <w:abstractNumId w:val="0"/>
  </w:num>
  <w:num w:numId="10">
    <w:abstractNumId w:val="3"/>
  </w:num>
  <w:num w:numId="11">
    <w:abstractNumId w:val="26"/>
  </w:num>
  <w:num w:numId="12">
    <w:abstractNumId w:val="9"/>
  </w:num>
  <w:num w:numId="13">
    <w:abstractNumId w:val="6"/>
  </w:num>
  <w:num w:numId="14">
    <w:abstractNumId w:val="17"/>
  </w:num>
  <w:num w:numId="15">
    <w:abstractNumId w:val="11"/>
  </w:num>
  <w:num w:numId="16">
    <w:abstractNumId w:val="12"/>
  </w:num>
  <w:num w:numId="17">
    <w:abstractNumId w:val="7"/>
  </w:num>
  <w:num w:numId="18">
    <w:abstractNumId w:val="4"/>
  </w:num>
  <w:num w:numId="19">
    <w:abstractNumId w:val="18"/>
  </w:num>
  <w:num w:numId="20">
    <w:abstractNumId w:val="10"/>
  </w:num>
  <w:num w:numId="21">
    <w:abstractNumId w:val="20"/>
  </w:num>
  <w:num w:numId="22">
    <w:abstractNumId w:val="16"/>
  </w:num>
  <w:num w:numId="23">
    <w:abstractNumId w:val="15"/>
  </w:num>
  <w:num w:numId="24">
    <w:abstractNumId w:val="14"/>
  </w:num>
  <w:num w:numId="25">
    <w:abstractNumId w:val="21"/>
  </w:num>
  <w:num w:numId="26">
    <w:abstractNumId w:val="2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hdrShapeDefaults>
    <o:shapedefaults v:ext="edit" spidmax="1433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3C0B"/>
    <w:rsid w:val="00020292"/>
    <w:rsid w:val="00036C91"/>
    <w:rsid w:val="00057336"/>
    <w:rsid w:val="00062605"/>
    <w:rsid w:val="00087536"/>
    <w:rsid w:val="000A6058"/>
    <w:rsid w:val="000A7329"/>
    <w:rsid w:val="000B50EB"/>
    <w:rsid w:val="000C1F1D"/>
    <w:rsid w:val="000D290D"/>
    <w:rsid w:val="000D71CF"/>
    <w:rsid w:val="000F4AAD"/>
    <w:rsid w:val="00124842"/>
    <w:rsid w:val="001443ED"/>
    <w:rsid w:val="001554F2"/>
    <w:rsid w:val="001A4DC2"/>
    <w:rsid w:val="001C0DD6"/>
    <w:rsid w:val="001C79C6"/>
    <w:rsid w:val="001E733E"/>
    <w:rsid w:val="001F2C4E"/>
    <w:rsid w:val="001F6CD1"/>
    <w:rsid w:val="00215286"/>
    <w:rsid w:val="00216506"/>
    <w:rsid w:val="00233085"/>
    <w:rsid w:val="00233914"/>
    <w:rsid w:val="00233FCE"/>
    <w:rsid w:val="00236B9F"/>
    <w:rsid w:val="00245527"/>
    <w:rsid w:val="002609D3"/>
    <w:rsid w:val="002C1855"/>
    <w:rsid w:val="002E5319"/>
    <w:rsid w:val="00332AA2"/>
    <w:rsid w:val="00396ECE"/>
    <w:rsid w:val="003A0C16"/>
    <w:rsid w:val="003B1222"/>
    <w:rsid w:val="003B39A4"/>
    <w:rsid w:val="003D0A59"/>
    <w:rsid w:val="003D1241"/>
    <w:rsid w:val="003E0B79"/>
    <w:rsid w:val="003F6A9F"/>
    <w:rsid w:val="004030B0"/>
    <w:rsid w:val="0040472C"/>
    <w:rsid w:val="004229B6"/>
    <w:rsid w:val="004417D3"/>
    <w:rsid w:val="004423E9"/>
    <w:rsid w:val="00464086"/>
    <w:rsid w:val="004C20B6"/>
    <w:rsid w:val="004C338A"/>
    <w:rsid w:val="004C66BD"/>
    <w:rsid w:val="004D5D39"/>
    <w:rsid w:val="00540F2C"/>
    <w:rsid w:val="005701F7"/>
    <w:rsid w:val="00580E36"/>
    <w:rsid w:val="005A5445"/>
    <w:rsid w:val="005B2729"/>
    <w:rsid w:val="005B49F1"/>
    <w:rsid w:val="005D789F"/>
    <w:rsid w:val="00677471"/>
    <w:rsid w:val="00697A22"/>
    <w:rsid w:val="006B704B"/>
    <w:rsid w:val="006C1F4E"/>
    <w:rsid w:val="006C3F9B"/>
    <w:rsid w:val="006E1070"/>
    <w:rsid w:val="006E2C7B"/>
    <w:rsid w:val="006F5B8B"/>
    <w:rsid w:val="00717F1F"/>
    <w:rsid w:val="007910CC"/>
    <w:rsid w:val="00791C1F"/>
    <w:rsid w:val="007D107A"/>
    <w:rsid w:val="007E3C36"/>
    <w:rsid w:val="007F47F9"/>
    <w:rsid w:val="0080517E"/>
    <w:rsid w:val="0080559D"/>
    <w:rsid w:val="008077B1"/>
    <w:rsid w:val="0081472E"/>
    <w:rsid w:val="00815CF6"/>
    <w:rsid w:val="008371A1"/>
    <w:rsid w:val="0085465A"/>
    <w:rsid w:val="0086630D"/>
    <w:rsid w:val="0087633E"/>
    <w:rsid w:val="00896AC2"/>
    <w:rsid w:val="008A785F"/>
    <w:rsid w:val="008B4A74"/>
    <w:rsid w:val="008C666F"/>
    <w:rsid w:val="00927DEB"/>
    <w:rsid w:val="00936746"/>
    <w:rsid w:val="00964A16"/>
    <w:rsid w:val="009716BD"/>
    <w:rsid w:val="00981402"/>
    <w:rsid w:val="009930CB"/>
    <w:rsid w:val="009D0657"/>
    <w:rsid w:val="009D22FB"/>
    <w:rsid w:val="009E71DC"/>
    <w:rsid w:val="009E7DC3"/>
    <w:rsid w:val="009F07BB"/>
    <w:rsid w:val="00A01246"/>
    <w:rsid w:val="00A2046B"/>
    <w:rsid w:val="00A212E8"/>
    <w:rsid w:val="00A22DF9"/>
    <w:rsid w:val="00A2499A"/>
    <w:rsid w:val="00A44BC9"/>
    <w:rsid w:val="00A670BE"/>
    <w:rsid w:val="00A71878"/>
    <w:rsid w:val="00A968FF"/>
    <w:rsid w:val="00B17B44"/>
    <w:rsid w:val="00B775CB"/>
    <w:rsid w:val="00B83C77"/>
    <w:rsid w:val="00B9097F"/>
    <w:rsid w:val="00BA56CF"/>
    <w:rsid w:val="00BB3474"/>
    <w:rsid w:val="00BC694C"/>
    <w:rsid w:val="00BD11A8"/>
    <w:rsid w:val="00BE3330"/>
    <w:rsid w:val="00BF39B7"/>
    <w:rsid w:val="00C02E22"/>
    <w:rsid w:val="00C25F79"/>
    <w:rsid w:val="00C34BD6"/>
    <w:rsid w:val="00C506AC"/>
    <w:rsid w:val="00C80B0D"/>
    <w:rsid w:val="00CA1AC5"/>
    <w:rsid w:val="00CD6AA6"/>
    <w:rsid w:val="00CE4336"/>
    <w:rsid w:val="00D0770B"/>
    <w:rsid w:val="00D300A3"/>
    <w:rsid w:val="00D416D3"/>
    <w:rsid w:val="00D52CD0"/>
    <w:rsid w:val="00D66359"/>
    <w:rsid w:val="00D677E2"/>
    <w:rsid w:val="00D7596E"/>
    <w:rsid w:val="00D91AF4"/>
    <w:rsid w:val="00DA12C8"/>
    <w:rsid w:val="00DB0138"/>
    <w:rsid w:val="00DB7FE7"/>
    <w:rsid w:val="00DC0235"/>
    <w:rsid w:val="00DD0889"/>
    <w:rsid w:val="00DE42C6"/>
    <w:rsid w:val="00DF03B3"/>
    <w:rsid w:val="00DF2920"/>
    <w:rsid w:val="00EA3A77"/>
    <w:rsid w:val="00EC2142"/>
    <w:rsid w:val="00ED4B0F"/>
    <w:rsid w:val="00F1033E"/>
    <w:rsid w:val="00F17704"/>
    <w:rsid w:val="00F349D0"/>
    <w:rsid w:val="00F3604B"/>
    <w:rsid w:val="00F41325"/>
    <w:rsid w:val="00F416B8"/>
    <w:rsid w:val="00F521D1"/>
    <w:rsid w:val="00F61920"/>
    <w:rsid w:val="00FB7533"/>
    <w:rsid w:val="00FD7FB3"/>
    <w:rsid w:val="00FE6DCD"/>
    <w:rsid w:val="00FF30AE"/>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5:chartTrackingRefBased/>
  <w15:docId w15:val="{9452E818-F610-45A4-A3CE-A85C96F9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5CB"/>
    <w:pPr>
      <w:tabs>
        <w:tab w:val="center" w:pos="4320"/>
        <w:tab w:val="right" w:pos="8640"/>
      </w:tabs>
    </w:pPr>
    <w:rPr>
      <w:sz w:val="20"/>
      <w:szCs w:val="20"/>
    </w:rPr>
  </w:style>
  <w:style w:type="character" w:customStyle="1" w:styleId="En-tteCar">
    <w:name w:val="En-tête Car"/>
    <w:basedOn w:val="Policepardfaut"/>
    <w:link w:val="En-tte"/>
    <w:uiPriority w:val="99"/>
    <w:rsid w:val="00B775CB"/>
    <w:rPr>
      <w:rFonts w:ascii="Cambria" w:eastAsia="Cambria" w:hAnsi="Cambria" w:cs="Times New Roman"/>
      <w:sz w:val="20"/>
      <w:szCs w:val="20"/>
      <w:lang w:val="de-D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rPr>
  </w:style>
  <w:style w:type="character" w:customStyle="1" w:styleId="PieddepageCar">
    <w:name w:val="Pied de page Car"/>
    <w:basedOn w:val="Policepardfaut"/>
    <w:link w:val="Pieddepage"/>
    <w:uiPriority w:val="99"/>
    <w:rsid w:val="00B775CB"/>
    <w:rPr>
      <w:rFonts w:ascii="Cambria" w:eastAsia="Cambria" w:hAnsi="Cambria" w:cs="Times New Roman"/>
      <w:sz w:val="20"/>
      <w:szCs w:val="20"/>
      <w:lang w:val="de-D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eastAsia="fr-FR"/>
    </w:rPr>
  </w:style>
  <w:style w:type="character" w:customStyle="1" w:styleId="Retraitcorpsdetexte3Car">
    <w:name w:val="Retrait corps de texte 3 Car"/>
    <w:basedOn w:val="Policepardfaut"/>
    <w:link w:val="Retraitcorpsdetexte3"/>
    <w:rsid w:val="00B775CB"/>
    <w:rPr>
      <w:rFonts w:ascii="Times New Roman" w:eastAsia="Times New Roman" w:hAnsi="Times New Roman" w:cs="Times New Roman"/>
      <w:sz w:val="20"/>
      <w:szCs w:val="20"/>
      <w:lang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rsid w:val="00B775CB"/>
    <w:rPr>
      <w:rFonts w:ascii="Tahoma" w:hAnsi="Tahoma"/>
      <w:sz w:val="16"/>
      <w:szCs w:val="16"/>
    </w:rPr>
  </w:style>
  <w:style w:type="character" w:customStyle="1" w:styleId="TextedebullesCar">
    <w:name w:val="Texte de bulles Car"/>
    <w:basedOn w:val="Policepardfaut"/>
    <w:link w:val="Textedebulles"/>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uiPriority w:val="20"/>
    <w:qFormat/>
    <w:rsid w:val="00B775CB"/>
    <w:rPr>
      <w:i/>
      <w:iCs/>
    </w:rPr>
  </w:style>
  <w:style w:type="paragraph" w:styleId="Notedebasdepage">
    <w:name w:val="footnote text"/>
    <w:basedOn w:val="Normal"/>
    <w:link w:val="NotedebasdepageCar"/>
    <w:uiPriority w:val="99"/>
    <w:rsid w:val="00B775CB"/>
  </w:style>
  <w:style w:type="character" w:customStyle="1" w:styleId="NotedebasdepageCar">
    <w:name w:val="Note de bas de page Car"/>
    <w:basedOn w:val="Policepardfaut"/>
    <w:link w:val="Notedebasdepage"/>
    <w:uiPriority w:val="99"/>
    <w:rsid w:val="00B775CB"/>
    <w:rPr>
      <w:rFonts w:ascii="Cambria" w:eastAsia="Cambria" w:hAnsi="Cambria" w:cs="Times New Roman"/>
      <w:lang w:val="de-DE"/>
    </w:rPr>
  </w:style>
  <w:style w:type="character" w:styleId="Appelnotedebasdep">
    <w:name w:val="footnote reference"/>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basedOn w:val="Policepardfaut"/>
    <w:uiPriority w:val="99"/>
    <w:semiHidden/>
    <w:unhideWhenUsed/>
    <w:rsid w:val="00BB3474"/>
    <w:rPr>
      <w:sz w:val="18"/>
      <w:szCs w:val="18"/>
    </w:rPr>
  </w:style>
  <w:style w:type="paragraph" w:styleId="Commentaire">
    <w:name w:val="annotation text"/>
    <w:basedOn w:val="Normal"/>
    <w:link w:val="CommentaireCar"/>
    <w:uiPriority w:val="99"/>
    <w:semiHidden/>
    <w:unhideWhenUsed/>
    <w:rsid w:val="00BB3474"/>
  </w:style>
  <w:style w:type="character" w:customStyle="1" w:styleId="CommentaireCar">
    <w:name w:val="Commentaire Car"/>
    <w:basedOn w:val="Policepardfaut"/>
    <w:link w:val="Commentaire"/>
    <w:uiPriority w:val="99"/>
    <w:semiHidden/>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semiHidden/>
    <w:unhideWhenUsed/>
    <w:rsid w:val="00BB3474"/>
    <w:rPr>
      <w:b/>
      <w:bCs/>
      <w:sz w:val="20"/>
      <w:szCs w:val="20"/>
    </w:rPr>
  </w:style>
  <w:style w:type="character" w:customStyle="1" w:styleId="ObjetducommentaireCar">
    <w:name w:val="Objet du commentaire Car"/>
    <w:basedOn w:val="Commentaire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A3">
    <w:name w:val="A3"/>
    <w:uiPriority w:val="99"/>
    <w:rsid w:val="009930CB"/>
    <w:rPr>
      <w:color w:val="000000"/>
      <w:sz w:val="20"/>
      <w:szCs w:val="20"/>
    </w:rPr>
  </w:style>
  <w:style w:type="paragraph" w:customStyle="1" w:styleId="Pa8">
    <w:name w:val="Pa8"/>
    <w:basedOn w:val="Default"/>
    <w:next w:val="Default"/>
    <w:uiPriority w:val="99"/>
    <w:rsid w:val="009930CB"/>
    <w:pPr>
      <w:spacing w:line="201" w:lineRule="atLeast"/>
    </w:pPr>
    <w:rPr>
      <w:rFonts w:cs="Times New Roman"/>
      <w:color w:val="auto"/>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CELEX:32010R1092:FR:N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C79F1-4345-4F6F-B567-E4EBAA76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4883</Characters>
  <Application>Microsoft Office Word</Application>
  <DocSecurity>4</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Groupe Parlementaire DP</Company>
  <LinksUpToDate>false</LinksUpToDate>
  <CharactersWithSpaces>5759</CharactersWithSpaces>
  <SharedDoc>false</SharedDoc>
  <HLinks>
    <vt:vector size="6" baseType="variant">
      <vt:variant>
        <vt:i4>5767185</vt:i4>
      </vt:variant>
      <vt:variant>
        <vt:i4>0</vt:i4>
      </vt:variant>
      <vt:variant>
        <vt:i4>0</vt:i4>
      </vt:variant>
      <vt:variant>
        <vt:i4>5</vt:i4>
      </vt:variant>
      <vt:variant>
        <vt:lpwstr>http://eur-lex.europa.eu/LexUriServ/LexUriServ.do?uri=CELEX:32010R1092:FR:NOT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Jacoby</dc:creator>
  <cp:keywords/>
  <cp:lastModifiedBy>SYSTEM</cp:lastModifiedBy>
  <cp:revision>2</cp:revision>
  <cp:lastPrinted>2015-03-13T09:39:00Z</cp:lastPrinted>
  <dcterms:created xsi:type="dcterms:W3CDTF">2024-02-21T07:49:00Z</dcterms:created>
  <dcterms:modified xsi:type="dcterms:W3CDTF">2024-02-21T07:49:00Z</dcterms:modified>
</cp:coreProperties>
</file>