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73" w:rsidRPr="001F1545" w:rsidRDefault="00DB3C73" w:rsidP="00DB3C73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1F1545">
        <w:rPr>
          <w:rFonts w:cs="Arial"/>
          <w:b/>
          <w:bCs/>
          <w:sz w:val="28"/>
          <w:szCs w:val="28"/>
        </w:rPr>
        <w:t>N° 673</w:t>
      </w:r>
      <w:r>
        <w:rPr>
          <w:rFonts w:cs="Arial"/>
          <w:b/>
          <w:bCs/>
          <w:sz w:val="28"/>
          <w:szCs w:val="28"/>
        </w:rPr>
        <w:t>0</w:t>
      </w: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1F1545">
        <w:rPr>
          <w:rFonts w:cs="Arial"/>
          <w:bCs/>
          <w:sz w:val="28"/>
          <w:szCs w:val="28"/>
        </w:rPr>
        <w:t>CHAMBRE DES DEPUTES</w:t>
      </w: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1F1545">
        <w:rPr>
          <w:rFonts w:cs="Arial"/>
          <w:bCs/>
          <w:szCs w:val="20"/>
        </w:rPr>
        <w:t>Session ordinaire 2014-2015</w:t>
      </w:r>
    </w:p>
    <w:p w:rsidR="00DB3C73" w:rsidRPr="001F1545" w:rsidRDefault="00DB3C73" w:rsidP="00DB3C73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B3C73" w:rsidRPr="001F1545" w:rsidRDefault="00DB3C73" w:rsidP="00DB3C7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1F1545">
        <w:rPr>
          <w:rFonts w:cs="Arial"/>
          <w:b/>
          <w:bCs/>
          <w:spacing w:val="76"/>
          <w:sz w:val="36"/>
          <w:szCs w:val="36"/>
        </w:rPr>
        <w:t>PROJET DE LOI</w:t>
      </w: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DB3C73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1F1545">
        <w:rPr>
          <w:rFonts w:ascii="Swiss721BT-Bold" w:hAnsi="Swiss721BT-Bold" w:cs="Swiss721BT-Bold"/>
          <w:b/>
          <w:bCs/>
          <w:szCs w:val="20"/>
          <w:lang w:eastAsia="lb-LU"/>
        </w:rPr>
        <w:t xml:space="preserve">portant approbation </w:t>
      </w:r>
      <w:r w:rsidRPr="00D64745">
        <w:rPr>
          <w:rFonts w:ascii="Swiss721BT-Bold" w:hAnsi="Swiss721BT-Bold" w:cs="Swiss721BT-Bold"/>
          <w:b/>
          <w:bCs/>
          <w:szCs w:val="20"/>
          <w:lang w:eastAsia="lb-LU"/>
        </w:rPr>
        <w:t>de l’accord d’association entre l’Union</w:t>
      </w:r>
      <w:r>
        <w:rPr>
          <w:rFonts w:ascii="Swiss721BT-Bold" w:hAnsi="Swiss721BT-Bold" w:cs="Swiss721BT-Bold"/>
          <w:b/>
          <w:bCs/>
          <w:szCs w:val="20"/>
          <w:lang w:eastAsia="lb-LU"/>
        </w:rPr>
        <w:t xml:space="preserve"> </w:t>
      </w:r>
      <w:r w:rsidRPr="00D64745">
        <w:rPr>
          <w:rFonts w:ascii="Swiss721BT-Bold" w:hAnsi="Swiss721BT-Bold" w:cs="Swiss721BT-Bold"/>
          <w:b/>
          <w:bCs/>
          <w:szCs w:val="20"/>
          <w:lang w:eastAsia="lb-LU"/>
        </w:rPr>
        <w:t xml:space="preserve">européenne </w:t>
      </w:r>
    </w:p>
    <w:p w:rsidR="00DB3C73" w:rsidRPr="00D64745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64745">
        <w:rPr>
          <w:rFonts w:ascii="Swiss721BT-Bold" w:hAnsi="Swiss721BT-Bold" w:cs="Swiss721BT-Bold"/>
          <w:b/>
          <w:bCs/>
          <w:szCs w:val="20"/>
          <w:lang w:eastAsia="lb-LU"/>
        </w:rPr>
        <w:t>et la communauté européenne de l’énergie atomique</w:t>
      </w:r>
      <w:r>
        <w:rPr>
          <w:rFonts w:ascii="Swiss721BT-Bold" w:hAnsi="Swiss721BT-Bold" w:cs="Swiss721BT-Bold"/>
          <w:b/>
          <w:bCs/>
          <w:szCs w:val="20"/>
          <w:lang w:eastAsia="lb-LU"/>
        </w:rPr>
        <w:t xml:space="preserve"> et </w:t>
      </w:r>
    </w:p>
    <w:p w:rsidR="00DB3C73" w:rsidRPr="00D64745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64745">
        <w:rPr>
          <w:rFonts w:ascii="Swiss721BT-Bold" w:hAnsi="Swiss721BT-Bold" w:cs="Swiss721BT-Bold"/>
          <w:b/>
          <w:bCs/>
          <w:szCs w:val="20"/>
          <w:lang w:eastAsia="lb-LU"/>
        </w:rPr>
        <w:t>leurs Etats membres, d’une part, et la Géorgie, d’autre</w:t>
      </w:r>
      <w:r>
        <w:rPr>
          <w:rFonts w:ascii="Swiss721BT-Bold" w:hAnsi="Swiss721BT-Bold" w:cs="Swiss721BT-Bold"/>
          <w:b/>
          <w:bCs/>
          <w:szCs w:val="20"/>
          <w:lang w:eastAsia="lb-LU"/>
        </w:rPr>
        <w:t xml:space="preserve"> </w:t>
      </w:r>
    </w:p>
    <w:p w:rsidR="00DB3C73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D64745">
        <w:rPr>
          <w:rFonts w:ascii="Swiss721BT-Bold" w:hAnsi="Swiss721BT-Bold" w:cs="Swiss721BT-Bold"/>
          <w:b/>
          <w:bCs/>
          <w:szCs w:val="20"/>
          <w:lang w:eastAsia="lb-LU"/>
        </w:rPr>
        <w:t>part, signé à Bruxelles, le 27 juin 2014</w:t>
      </w: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</w:p>
    <w:p w:rsidR="00DB3C73" w:rsidRPr="001F1545" w:rsidRDefault="00DB3C73" w:rsidP="00DB3C73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eastAsia="lb-LU"/>
        </w:rPr>
      </w:pPr>
      <w:r w:rsidRPr="001F1545">
        <w:rPr>
          <w:rFonts w:ascii="Swiss721BT-Bold" w:hAnsi="Swiss721BT-Bold" w:cs="Swiss721BT-Bold"/>
          <w:b/>
          <w:bCs/>
          <w:szCs w:val="20"/>
          <w:lang w:eastAsia="lb-LU"/>
        </w:rPr>
        <w:t>***</w:t>
      </w:r>
    </w:p>
    <w:p w:rsidR="00803B58" w:rsidRDefault="00803B58"/>
    <w:p w:rsidR="00DB3C73" w:rsidRPr="00DB3C73" w:rsidRDefault="00DB3C73" w:rsidP="00DB3C73">
      <w:pPr>
        <w:jc w:val="center"/>
        <w:rPr>
          <w:b/>
        </w:rPr>
      </w:pPr>
      <w:r w:rsidRPr="00DB3C73">
        <w:rPr>
          <w:b/>
        </w:rPr>
        <w:t>RESUME</w:t>
      </w:r>
    </w:p>
    <w:p w:rsidR="00DB3C73" w:rsidRDefault="00DB3C73"/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>L’accord d’association fait partie de la nouvelle génération d’accords avec les pays du partenariat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oriental. Reflétant l’importance stratégique des relations entre l’UE et la Géorgie, il participe au processus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de consolidation des relations entre les deux parties en leur offrant une base durable, sans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préjuger du développement futur des relations de la Géorgie avec l’UE.</w:t>
      </w:r>
    </w:p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>L’accord adopte une approche ambitieuse et novatrice, incluant l’établissement d’une zone de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libre-échange complète et approfondie. Il rappelle les valeurs communes à la Géorgie et l’UE et vise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à mettre en place un cadre approprié pour un dialogue politique renforcé dans tous les domaines d’intérêt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commun. Les buts principaux sont le soutien des réformes-clé, la croissance économique, la bonne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gouvernance et la coopération sectorielle. L’accord pose les jalons pour exploiter le potentiel inhérent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aux relations entre l’UE et la Géorgie. Il est en fait un agenda de réforme pour la Géorgie, basé sur un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programme de transposition du droit européen dans la loi géorgienne.</w:t>
      </w:r>
    </w:p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>L’accord s’inscrit dans une approche européenne globale</w:t>
      </w:r>
      <w:r>
        <w:rPr>
          <w:rFonts w:cs="Arial"/>
          <w:sz w:val="22"/>
          <w:szCs w:val="22"/>
        </w:rPr>
        <w:t> :</w:t>
      </w:r>
      <w:r w:rsidRPr="00D64745">
        <w:rPr>
          <w:rFonts w:cs="Arial"/>
          <w:sz w:val="22"/>
          <w:szCs w:val="22"/>
        </w:rPr>
        <w:t xml:space="preserve"> l’aide de l’UE à la Géorgie est étroitement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liée à l’agenda de réforme tel qu’il résulte des négociations de cet accord. L’UE soutiendra la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Géorgie durant la phase de mise en œuvre de l’accord via l’assistance financière, mais aussi d’autres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mesures de soutien de l’UE</w:t>
      </w:r>
      <w:r>
        <w:rPr>
          <w:rFonts w:cs="Arial"/>
          <w:sz w:val="22"/>
          <w:szCs w:val="22"/>
        </w:rPr>
        <w:t> :</w:t>
      </w:r>
      <w:r w:rsidRPr="00D64745">
        <w:rPr>
          <w:rFonts w:cs="Arial"/>
          <w:sz w:val="22"/>
          <w:szCs w:val="22"/>
        </w:rPr>
        <w:t xml:space="preserve"> assistance technique, formation, renforcement des capacités et des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institutions.</w:t>
      </w:r>
    </w:p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>L’accord est soutenu par un agenda d’association qui indique les priorités de coopération pour la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période de 2014 à 2016. L’agenda a été adopté par le Conseil de coopération entre l’UE et la Géorgie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le 26 juin 2014, la veille de la signature de l’accord d’association, remplaçant ainsi le plan d’action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défini dans le cadre de la politique de voisinage en 2006. L’agenda offre un cadre pragmatique et adapté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pour achever l’association politique et l’intégration économique entre la Géorgie et l’UE, intégrant à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la fois des éléments politiques ainsi qu’économiques et commerciaux.</w:t>
      </w:r>
    </w:p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 xml:space="preserve">L’accord couvre tous les domaines d’intérêt. Il accorde une attention particulière à la mise en </w:t>
      </w:r>
      <w:r>
        <w:rPr>
          <w:rFonts w:cs="Arial"/>
          <w:sz w:val="22"/>
          <w:szCs w:val="22"/>
        </w:rPr>
        <w:t xml:space="preserve">œuvre </w:t>
      </w:r>
      <w:r w:rsidRPr="00D64745">
        <w:rPr>
          <w:rFonts w:cs="Arial"/>
          <w:sz w:val="22"/>
          <w:szCs w:val="22"/>
        </w:rPr>
        <w:t>de l’accord et aux mesures de monitoring, y inclus un calendrier pré</w:t>
      </w:r>
      <w:r>
        <w:rPr>
          <w:rFonts w:cs="Arial"/>
          <w:sz w:val="22"/>
          <w:szCs w:val="22"/>
        </w:rPr>
        <w:t>c</w:t>
      </w:r>
      <w:r w:rsidRPr="00D64745">
        <w:rPr>
          <w:rFonts w:cs="Arial"/>
          <w:sz w:val="22"/>
          <w:szCs w:val="22"/>
        </w:rPr>
        <w:t>is et l’établissement d’une structure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institutionnelle et administrative créant un degré de prévisibilité adéquat, surtout pour les opérateurs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économiques.</w:t>
      </w:r>
    </w:p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</w:rPr>
        <w:t>P</w:t>
      </w:r>
      <w:r w:rsidRPr="00D64745">
        <w:rPr>
          <w:rFonts w:cs="Arial"/>
          <w:sz w:val="22"/>
          <w:szCs w:val="22"/>
        </w:rPr>
        <w:t xml:space="preserve">arlement géorgien a ratifié l’accord d’association le 18 juillet 2014 à l’unanimité. </w:t>
      </w:r>
      <w:r>
        <w:rPr>
          <w:rFonts w:cs="Arial"/>
          <w:sz w:val="22"/>
          <w:szCs w:val="22"/>
        </w:rPr>
        <w:t xml:space="preserve">Conformément à l’article 431 de l’accord, certaines parties, dont notamment les </w:t>
      </w:r>
      <w:r w:rsidRPr="00D64745">
        <w:rPr>
          <w:rFonts w:cs="Arial"/>
          <w:sz w:val="22"/>
          <w:szCs w:val="22"/>
        </w:rPr>
        <w:t>dispositions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relatives à l</w:t>
      </w:r>
      <w:r>
        <w:rPr>
          <w:rFonts w:cs="Arial"/>
          <w:sz w:val="22"/>
          <w:szCs w:val="22"/>
        </w:rPr>
        <w:t xml:space="preserve">a zone </w:t>
      </w:r>
      <w:r w:rsidRPr="00D64745">
        <w:rPr>
          <w:rFonts w:cs="Arial"/>
          <w:sz w:val="22"/>
          <w:szCs w:val="22"/>
        </w:rPr>
        <w:t>de libre-échange, s’appliquent à titre provisoire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depuis le 1er septembre 2014.</w:t>
      </w:r>
    </w:p>
    <w:p w:rsidR="001A47A9" w:rsidRPr="00D64745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lastRenderedPageBreak/>
        <w:t>Pendant la période d’application provisoire, les dispositions de l’accord de partenariat et de coopération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entre les Communautés européennes et leurs Etats membres, d’une part, et la Géorgie, d’autre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part, qui a été signé à Luxembourg le 22 avril 1996 et est entré en vigueur le 1er juillet 1999, continuent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d’être appliquées dans la mesure où elles ne sont pas concernées par l’application provisoire du présent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accord.</w:t>
      </w:r>
    </w:p>
    <w:p w:rsidR="001A47A9" w:rsidRDefault="001A47A9" w:rsidP="001A47A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D64745">
        <w:rPr>
          <w:rFonts w:cs="Arial"/>
          <w:sz w:val="22"/>
          <w:szCs w:val="22"/>
        </w:rPr>
        <w:t>L’accord est conclu pour une durée indéterminée et peut être dénoncé par écrit par chaque partie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(Titre V</w:t>
      </w:r>
      <w:r>
        <w:rPr>
          <w:rFonts w:cs="Arial"/>
          <w:sz w:val="22"/>
          <w:szCs w:val="22"/>
        </w:rPr>
        <w:t>I</w:t>
      </w:r>
      <w:r w:rsidRPr="00D64745">
        <w:rPr>
          <w:rFonts w:cs="Arial"/>
          <w:sz w:val="22"/>
          <w:szCs w:val="22"/>
        </w:rPr>
        <w:t>II, article 4</w:t>
      </w:r>
      <w:r>
        <w:rPr>
          <w:rFonts w:cs="Arial"/>
          <w:sz w:val="22"/>
          <w:szCs w:val="22"/>
        </w:rPr>
        <w:t>27</w:t>
      </w:r>
      <w:r w:rsidRPr="00D64745">
        <w:rPr>
          <w:rFonts w:cs="Arial"/>
          <w:sz w:val="22"/>
          <w:szCs w:val="22"/>
        </w:rPr>
        <w:t>). Les parties s’engagent à mener une évaluation du progrès effectué dans les</w:t>
      </w:r>
      <w:r>
        <w:rPr>
          <w:rFonts w:cs="Arial"/>
          <w:sz w:val="22"/>
          <w:szCs w:val="22"/>
        </w:rPr>
        <w:t xml:space="preserve"> </w:t>
      </w:r>
      <w:r w:rsidRPr="00D64745">
        <w:rPr>
          <w:rFonts w:cs="Arial"/>
          <w:sz w:val="22"/>
          <w:szCs w:val="22"/>
        </w:rPr>
        <w:t>différents domaines endéans cinq ans.</w:t>
      </w:r>
    </w:p>
    <w:p w:rsidR="00DB3C73" w:rsidRDefault="00DB3C73"/>
    <w:sectPr w:rsidR="00DB3C73" w:rsidSect="008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73"/>
    <w:rsid w:val="001A47A9"/>
    <w:rsid w:val="00803B58"/>
    <w:rsid w:val="00B32013"/>
    <w:rsid w:val="00CB27E9"/>
    <w:rsid w:val="00D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8C4D4E-253A-47C2-878A-971646B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73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