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19" w:rsidRPr="00CF7B94" w:rsidRDefault="00C115F8" w:rsidP="00CF7B94">
      <w:pPr>
        <w:jc w:val="center"/>
        <w:rPr>
          <w:rFonts w:ascii="Arial" w:hAnsi="Arial" w:cs="Arial"/>
          <w:b/>
          <w:sz w:val="22"/>
          <w:szCs w:val="22"/>
          <w:u w:val="single"/>
        </w:rPr>
      </w:pPr>
      <w:bookmarkStart w:id="0" w:name="_GoBack"/>
      <w:bookmarkEnd w:id="0"/>
      <w:r w:rsidRPr="00CF7B94">
        <w:rPr>
          <w:rFonts w:ascii="Arial" w:hAnsi="Arial" w:cs="Arial"/>
          <w:b/>
          <w:sz w:val="22"/>
          <w:szCs w:val="22"/>
          <w:u w:val="single"/>
        </w:rPr>
        <w:t>Résumé du projet de loi 5423</w:t>
      </w:r>
    </w:p>
    <w:p w:rsidR="00C115F8" w:rsidRPr="00CF7B94" w:rsidRDefault="00C115F8">
      <w:pPr>
        <w:rPr>
          <w:rFonts w:ascii="Arial" w:hAnsi="Arial" w:cs="Arial"/>
          <w:sz w:val="22"/>
          <w:szCs w:val="22"/>
        </w:rPr>
      </w:pPr>
    </w:p>
    <w:p w:rsidR="00F84515" w:rsidRDefault="00CF7B94" w:rsidP="00CF7B94">
      <w:pPr>
        <w:jc w:val="both"/>
        <w:rPr>
          <w:rFonts w:ascii="Arial" w:hAnsi="Arial" w:cs="Arial"/>
          <w:sz w:val="22"/>
          <w:szCs w:val="22"/>
        </w:rPr>
      </w:pPr>
      <w:r>
        <w:rPr>
          <w:rFonts w:ascii="Arial" w:hAnsi="Arial" w:cs="Arial"/>
          <w:sz w:val="22"/>
          <w:szCs w:val="22"/>
        </w:rPr>
        <w:t>Le présent projet de loi a pour objet l’approbation du Protocole N°14 à la Convention de sauvegarde des Droits de l’homme et des Libertés fon</w:t>
      </w:r>
      <w:r w:rsidR="00C6103A">
        <w:rPr>
          <w:rFonts w:ascii="Arial" w:hAnsi="Arial" w:cs="Arial"/>
          <w:sz w:val="22"/>
          <w:szCs w:val="22"/>
        </w:rPr>
        <w:t>damentales</w:t>
      </w:r>
      <w:r w:rsidR="00F84515">
        <w:rPr>
          <w:rFonts w:ascii="Arial" w:hAnsi="Arial" w:cs="Arial"/>
          <w:sz w:val="22"/>
          <w:szCs w:val="22"/>
        </w:rPr>
        <w:t xml:space="preserve">. </w:t>
      </w:r>
    </w:p>
    <w:p w:rsidR="00F84515" w:rsidRDefault="00F84515" w:rsidP="00CF7B94">
      <w:pPr>
        <w:jc w:val="both"/>
        <w:rPr>
          <w:rFonts w:ascii="Arial" w:hAnsi="Arial" w:cs="Arial"/>
          <w:sz w:val="22"/>
          <w:szCs w:val="22"/>
        </w:rPr>
      </w:pPr>
    </w:p>
    <w:p w:rsidR="00C6103A" w:rsidRDefault="00F84515" w:rsidP="00CF7B94">
      <w:pPr>
        <w:jc w:val="both"/>
        <w:rPr>
          <w:rFonts w:ascii="Arial" w:hAnsi="Arial" w:cs="Arial"/>
          <w:sz w:val="22"/>
          <w:szCs w:val="22"/>
        </w:rPr>
      </w:pPr>
      <w:r>
        <w:rPr>
          <w:rFonts w:ascii="Arial" w:hAnsi="Arial" w:cs="Arial"/>
          <w:sz w:val="22"/>
          <w:szCs w:val="22"/>
        </w:rPr>
        <w:t xml:space="preserve">Le </w:t>
      </w:r>
      <w:r w:rsidR="00C77747">
        <w:rPr>
          <w:rFonts w:ascii="Arial" w:hAnsi="Arial" w:cs="Arial"/>
          <w:sz w:val="22"/>
          <w:szCs w:val="22"/>
        </w:rPr>
        <w:t>P</w:t>
      </w:r>
      <w:r w:rsidR="00AA6F31">
        <w:rPr>
          <w:rFonts w:ascii="Arial" w:hAnsi="Arial" w:cs="Arial"/>
          <w:sz w:val="22"/>
          <w:szCs w:val="22"/>
        </w:rPr>
        <w:t xml:space="preserve">rotocole </w:t>
      </w:r>
      <w:r w:rsidR="00C77747">
        <w:rPr>
          <w:rFonts w:ascii="Arial" w:hAnsi="Arial" w:cs="Arial"/>
          <w:sz w:val="22"/>
          <w:szCs w:val="22"/>
        </w:rPr>
        <w:t xml:space="preserve">N°14 </w:t>
      </w:r>
      <w:r w:rsidR="00AA6F31">
        <w:rPr>
          <w:rFonts w:ascii="Arial" w:hAnsi="Arial" w:cs="Arial"/>
          <w:sz w:val="22"/>
          <w:szCs w:val="22"/>
        </w:rPr>
        <w:t xml:space="preserve">propose de renforcer la capacité de filtrage de la Cour européenne des droits de l’homme, d’établir un nouveau critère de recevabilité et d’adopter des mesures spécifiques pour traiter des affaires répétitives. </w:t>
      </w:r>
      <w:r>
        <w:rPr>
          <w:rFonts w:ascii="Arial" w:hAnsi="Arial" w:cs="Arial"/>
          <w:sz w:val="22"/>
          <w:szCs w:val="22"/>
        </w:rPr>
        <w:t>En effet, s</w:t>
      </w:r>
      <w:r w:rsidR="00C6103A">
        <w:rPr>
          <w:rFonts w:ascii="Arial" w:hAnsi="Arial" w:cs="Arial"/>
          <w:sz w:val="22"/>
          <w:szCs w:val="22"/>
        </w:rPr>
        <w:t xml:space="preserve">i le Protocole N°11 a </w:t>
      </w:r>
      <w:r>
        <w:rPr>
          <w:rFonts w:ascii="Arial" w:hAnsi="Arial" w:cs="Arial"/>
          <w:sz w:val="22"/>
          <w:szCs w:val="22"/>
        </w:rPr>
        <w:t xml:space="preserve">certes </w:t>
      </w:r>
      <w:r w:rsidR="00C6103A">
        <w:rPr>
          <w:rFonts w:ascii="Arial" w:hAnsi="Arial" w:cs="Arial"/>
          <w:sz w:val="22"/>
          <w:szCs w:val="22"/>
        </w:rPr>
        <w:t>renforcé l’efficacité du système</w:t>
      </w:r>
      <w:r>
        <w:rPr>
          <w:rFonts w:ascii="Arial" w:hAnsi="Arial" w:cs="Arial"/>
          <w:sz w:val="22"/>
          <w:szCs w:val="22"/>
        </w:rPr>
        <w:t xml:space="preserve"> de contrôle</w:t>
      </w:r>
      <w:r w:rsidR="00C6103A">
        <w:rPr>
          <w:rFonts w:ascii="Arial" w:hAnsi="Arial" w:cs="Arial"/>
          <w:sz w:val="22"/>
          <w:szCs w:val="22"/>
        </w:rPr>
        <w:t>, notamment en améliorant l’accessibilité de la Cour et en simplifiant la procédure, l</w:t>
      </w:r>
      <w:r w:rsidR="006C7A04">
        <w:rPr>
          <w:rFonts w:ascii="Arial" w:hAnsi="Arial" w:cs="Arial"/>
          <w:sz w:val="22"/>
          <w:szCs w:val="22"/>
        </w:rPr>
        <w:t>a</w:t>
      </w:r>
      <w:r w:rsidR="00AA6F31">
        <w:rPr>
          <w:rFonts w:ascii="Arial" w:hAnsi="Arial" w:cs="Arial"/>
          <w:sz w:val="22"/>
          <w:szCs w:val="22"/>
        </w:rPr>
        <w:t xml:space="preserve"> croissance continue du nombre des requêtes </w:t>
      </w:r>
      <w:r w:rsidR="00C6103A">
        <w:rPr>
          <w:rFonts w:ascii="Arial" w:hAnsi="Arial" w:cs="Arial"/>
          <w:sz w:val="22"/>
          <w:szCs w:val="22"/>
        </w:rPr>
        <w:t>r</w:t>
      </w:r>
      <w:r w:rsidR="006C7A04">
        <w:rPr>
          <w:rFonts w:ascii="Arial" w:hAnsi="Arial" w:cs="Arial"/>
          <w:sz w:val="22"/>
          <w:szCs w:val="22"/>
        </w:rPr>
        <w:t>eprésente un nouveau défi et requiert de nouvelles mesures de réforme</w:t>
      </w:r>
      <w:r w:rsidR="00C6103A">
        <w:rPr>
          <w:rFonts w:ascii="Arial" w:hAnsi="Arial" w:cs="Arial"/>
          <w:sz w:val="22"/>
          <w:szCs w:val="22"/>
        </w:rPr>
        <w:t xml:space="preserve">. </w:t>
      </w:r>
    </w:p>
    <w:p w:rsidR="00C6103A" w:rsidRDefault="00C6103A" w:rsidP="00CF7B94">
      <w:pPr>
        <w:jc w:val="both"/>
        <w:rPr>
          <w:rFonts w:ascii="Arial" w:hAnsi="Arial" w:cs="Arial"/>
          <w:sz w:val="22"/>
          <w:szCs w:val="22"/>
        </w:rPr>
      </w:pPr>
    </w:p>
    <w:p w:rsidR="006C7A04" w:rsidRDefault="00C6103A" w:rsidP="00CF7B94">
      <w:pPr>
        <w:jc w:val="both"/>
        <w:rPr>
          <w:rFonts w:ascii="Arial" w:hAnsi="Arial" w:cs="Arial"/>
          <w:sz w:val="22"/>
          <w:szCs w:val="22"/>
        </w:rPr>
      </w:pPr>
      <w:r>
        <w:rPr>
          <w:rFonts w:ascii="Arial" w:hAnsi="Arial" w:cs="Arial"/>
          <w:sz w:val="22"/>
          <w:szCs w:val="22"/>
        </w:rPr>
        <w:t>L</w:t>
      </w:r>
      <w:r w:rsidR="006C7A04">
        <w:rPr>
          <w:rFonts w:ascii="Arial" w:hAnsi="Arial" w:cs="Arial"/>
          <w:sz w:val="22"/>
          <w:szCs w:val="22"/>
        </w:rPr>
        <w:t xml:space="preserve">a capacité de filtrage est augmentée en accordant à un juge unique la compétence de déclarer une requête irrecevable ou de la rayer du rôle. Le nouveau critère de recevabilité permet à la Cour de se concentrer sur les affaires qui doivent être traitées sur le fond </w:t>
      </w:r>
      <w:r w:rsidR="00C44A9A">
        <w:rPr>
          <w:rFonts w:ascii="Arial" w:hAnsi="Arial" w:cs="Arial"/>
          <w:sz w:val="22"/>
          <w:szCs w:val="22"/>
        </w:rPr>
        <w:t>et de</w:t>
      </w:r>
      <w:r w:rsidR="006C7A04">
        <w:rPr>
          <w:rFonts w:ascii="Arial" w:hAnsi="Arial" w:cs="Arial"/>
          <w:sz w:val="22"/>
          <w:szCs w:val="22"/>
        </w:rPr>
        <w:t xml:space="preserve"> déclarer irrecevables la requête d’un requérant qui n’a pas subi de pr</w:t>
      </w:r>
      <w:r w:rsidR="00171D1A">
        <w:rPr>
          <w:rFonts w:ascii="Arial" w:hAnsi="Arial" w:cs="Arial"/>
          <w:sz w:val="22"/>
          <w:szCs w:val="22"/>
        </w:rPr>
        <w:t>é</w:t>
      </w:r>
      <w:r w:rsidR="006C7A04">
        <w:rPr>
          <w:rFonts w:ascii="Arial" w:hAnsi="Arial" w:cs="Arial"/>
          <w:sz w:val="22"/>
          <w:szCs w:val="22"/>
        </w:rPr>
        <w:t xml:space="preserve">judice important. </w:t>
      </w:r>
    </w:p>
    <w:p w:rsidR="00340E0A" w:rsidRDefault="00340E0A" w:rsidP="00CF7B94">
      <w:pPr>
        <w:jc w:val="both"/>
        <w:rPr>
          <w:rFonts w:ascii="Arial" w:hAnsi="Arial" w:cs="Arial"/>
          <w:sz w:val="22"/>
          <w:szCs w:val="22"/>
        </w:rPr>
      </w:pPr>
    </w:p>
    <w:p w:rsidR="00340E0A" w:rsidRDefault="00F8250A" w:rsidP="00CF7B94">
      <w:pPr>
        <w:jc w:val="both"/>
        <w:rPr>
          <w:rFonts w:ascii="Arial" w:hAnsi="Arial" w:cs="Arial"/>
          <w:sz w:val="22"/>
          <w:szCs w:val="22"/>
        </w:rPr>
      </w:pPr>
      <w:r>
        <w:rPr>
          <w:rFonts w:ascii="Arial" w:hAnsi="Arial" w:cs="Arial"/>
          <w:sz w:val="22"/>
          <w:szCs w:val="22"/>
        </w:rPr>
        <w:t xml:space="preserve">Des modifications plus ponctuelles ont notamment trait </w:t>
      </w:r>
      <w:r w:rsidR="00C6103A">
        <w:rPr>
          <w:rFonts w:ascii="Arial" w:hAnsi="Arial" w:cs="Arial"/>
          <w:sz w:val="22"/>
          <w:szCs w:val="22"/>
        </w:rPr>
        <w:t xml:space="preserve">à la durée du mandat des juges (mandat unique </w:t>
      </w:r>
      <w:r>
        <w:rPr>
          <w:rFonts w:ascii="Arial" w:hAnsi="Arial" w:cs="Arial"/>
          <w:sz w:val="22"/>
          <w:szCs w:val="22"/>
        </w:rPr>
        <w:t>de neuf ans</w:t>
      </w:r>
      <w:r w:rsidR="00C6103A">
        <w:rPr>
          <w:rFonts w:ascii="Arial" w:hAnsi="Arial" w:cs="Arial"/>
          <w:sz w:val="22"/>
          <w:szCs w:val="22"/>
        </w:rPr>
        <w:t>)</w:t>
      </w:r>
      <w:r>
        <w:rPr>
          <w:rFonts w:ascii="Arial" w:hAnsi="Arial" w:cs="Arial"/>
          <w:sz w:val="22"/>
          <w:szCs w:val="22"/>
        </w:rPr>
        <w:t xml:space="preserve"> et à la perspective d’une éventuelle adhésion de l’Union européenne à la Convention. </w:t>
      </w:r>
      <w:r w:rsidR="00C44A9A">
        <w:rPr>
          <w:rFonts w:ascii="Arial" w:hAnsi="Arial" w:cs="Arial"/>
          <w:sz w:val="22"/>
          <w:szCs w:val="22"/>
        </w:rPr>
        <w:t xml:space="preserve">De même, de nouvelles dispositions tendent à promouvoir les règlements amiables à tous les stades de la procédure. </w:t>
      </w:r>
    </w:p>
    <w:p w:rsidR="006C7A04" w:rsidRDefault="006C7A04" w:rsidP="00CF7B94">
      <w:pPr>
        <w:jc w:val="both"/>
        <w:rPr>
          <w:rFonts w:ascii="Arial" w:hAnsi="Arial" w:cs="Arial"/>
          <w:sz w:val="22"/>
          <w:szCs w:val="22"/>
        </w:rPr>
      </w:pPr>
    </w:p>
    <w:sectPr w:rsidR="006C7A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F98"/>
    <w:rsid w:val="00170555"/>
    <w:rsid w:val="00171D1A"/>
    <w:rsid w:val="001B7F98"/>
    <w:rsid w:val="00340E0A"/>
    <w:rsid w:val="004F1047"/>
    <w:rsid w:val="0065589B"/>
    <w:rsid w:val="006C7A04"/>
    <w:rsid w:val="006F4893"/>
    <w:rsid w:val="008969FC"/>
    <w:rsid w:val="00AA6F31"/>
    <w:rsid w:val="00B124E1"/>
    <w:rsid w:val="00C115F8"/>
    <w:rsid w:val="00C44A9A"/>
    <w:rsid w:val="00C6103A"/>
    <w:rsid w:val="00C77747"/>
    <w:rsid w:val="00CF7B94"/>
    <w:rsid w:val="00D9517D"/>
    <w:rsid w:val="00E43B19"/>
    <w:rsid w:val="00F33B71"/>
    <w:rsid w:val="00F8250A"/>
    <w:rsid w:val="00F8451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7F1F51C-7DD3-4A04-B06D-BCC0BEA8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C777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1170</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Résumé du projet de loi 5423</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du projet de loi 5423</dc:title>
  <dc:subject/>
  <dc:creator>depute</dc:creator>
  <cp:keywords/>
  <dc:description/>
  <cp:lastModifiedBy>SYSTEM</cp:lastModifiedBy>
  <cp:revision>2</cp:revision>
  <cp:lastPrinted>2006-01-25T10:52:00Z</cp:lastPrinted>
  <dcterms:created xsi:type="dcterms:W3CDTF">2024-02-21T07:40:00Z</dcterms:created>
  <dcterms:modified xsi:type="dcterms:W3CDTF">2024-02-21T07:40:00Z</dcterms:modified>
</cp:coreProperties>
</file>