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92" w:rsidRDefault="00A47F78" w:rsidP="00A47F78">
      <w:pPr>
        <w:jc w:val="center"/>
        <w:rPr>
          <w:b/>
          <w:bCs/>
          <w:dstrike w:val="0"/>
        </w:rPr>
      </w:pPr>
      <w:bookmarkStart w:id="0" w:name="_GoBack"/>
      <w:bookmarkEnd w:id="0"/>
      <w:r w:rsidRPr="00A47F78">
        <w:rPr>
          <w:b/>
          <w:bCs/>
          <w:dstrike w:val="0"/>
        </w:rPr>
        <w:t>Résumé du projet de loi N° 6</w:t>
      </w:r>
      <w:r w:rsidR="002A69C5">
        <w:rPr>
          <w:b/>
          <w:bCs/>
          <w:dstrike w:val="0"/>
        </w:rPr>
        <w:t>672</w:t>
      </w:r>
    </w:p>
    <w:p w:rsidR="00A47F78" w:rsidRPr="00694576" w:rsidRDefault="00A47F78" w:rsidP="00A47F78">
      <w:pPr>
        <w:pStyle w:val="Titre"/>
        <w:spacing w:after="0"/>
        <w:rPr>
          <w:rFonts w:ascii="Arial" w:hAnsi="Arial" w:cs="Arial"/>
          <w:dstrike w:val="0"/>
          <w:color w:val="auto"/>
          <w:sz w:val="22"/>
          <w:szCs w:val="22"/>
        </w:rPr>
      </w:pPr>
    </w:p>
    <w:p w:rsidR="007924AF" w:rsidRPr="00694576" w:rsidRDefault="007924AF" w:rsidP="007924AF">
      <w:pPr>
        <w:rPr>
          <w:dstrike w:val="0"/>
        </w:rPr>
      </w:pPr>
    </w:p>
    <w:p w:rsidR="00B516BF" w:rsidRDefault="00CE3594" w:rsidP="00B516BF">
      <w:pPr>
        <w:pStyle w:val="Default"/>
        <w:jc w:val="both"/>
        <w:rPr>
          <w:rFonts w:ascii="Arial" w:eastAsia="Calibri" w:hAnsi="Arial" w:cs="Arial"/>
          <w:bCs/>
          <w:sz w:val="22"/>
          <w:szCs w:val="22"/>
          <w:lang w:val="fr-FR" w:eastAsia="en-US"/>
        </w:rPr>
      </w:pPr>
      <w:r w:rsidRPr="00D8732C">
        <w:rPr>
          <w:rFonts w:ascii="Arial" w:eastAsia="Calibri" w:hAnsi="Arial" w:cs="Arial"/>
          <w:bCs/>
          <w:sz w:val="22"/>
          <w:szCs w:val="22"/>
          <w:lang w:val="fr-FR" w:eastAsia="en-US"/>
        </w:rPr>
        <w:t xml:space="preserve">Le projet de loi sous </w:t>
      </w:r>
      <w:r>
        <w:rPr>
          <w:rFonts w:ascii="Arial" w:eastAsia="Calibri" w:hAnsi="Arial" w:cs="Arial"/>
          <w:bCs/>
          <w:sz w:val="22"/>
          <w:szCs w:val="22"/>
          <w:lang w:val="fr-FR" w:eastAsia="en-US"/>
        </w:rPr>
        <w:t>rubrique</w:t>
      </w:r>
      <w:r w:rsidRPr="00D8732C">
        <w:rPr>
          <w:rFonts w:ascii="Arial" w:eastAsia="Calibri" w:hAnsi="Arial" w:cs="Arial"/>
          <w:bCs/>
          <w:sz w:val="22"/>
          <w:szCs w:val="22"/>
          <w:lang w:val="fr-FR" w:eastAsia="en-US"/>
        </w:rPr>
        <w:t xml:space="preserve"> propose la mise en application de deux règlements européens, à savoir le règlement (CE) n° 1069/2009 e</w:t>
      </w:r>
      <w:r w:rsidR="002A69C5">
        <w:rPr>
          <w:rFonts w:ascii="Arial" w:eastAsia="Calibri" w:hAnsi="Arial" w:cs="Arial"/>
          <w:bCs/>
          <w:sz w:val="22"/>
          <w:szCs w:val="22"/>
          <w:lang w:val="fr-FR" w:eastAsia="en-US"/>
        </w:rPr>
        <w:t>t le règlement (UE) n° 142/2011</w:t>
      </w:r>
      <w:r w:rsidR="00B516BF">
        <w:rPr>
          <w:rFonts w:ascii="Arial" w:eastAsia="Calibri" w:hAnsi="Arial" w:cs="Arial"/>
          <w:bCs/>
          <w:sz w:val="22"/>
          <w:szCs w:val="22"/>
          <w:lang w:val="fr-FR" w:eastAsia="en-US"/>
        </w:rPr>
        <w:t xml:space="preserve"> et remplace </w:t>
      </w:r>
      <w:r w:rsidR="00B516BF" w:rsidRPr="00D8732C">
        <w:rPr>
          <w:rFonts w:ascii="Arial" w:eastAsia="Calibri" w:hAnsi="Arial" w:cs="Arial"/>
          <w:bCs/>
          <w:sz w:val="22"/>
          <w:szCs w:val="22"/>
          <w:lang w:val="fr-FR" w:eastAsia="en-US"/>
        </w:rPr>
        <w:t>la loi du 6 septembre 1962 sur la destruction et l’utilisation des cadavres d’animaux, de viandes confisquées et de déchets de viande</w:t>
      </w:r>
      <w:r w:rsidR="00B516BF">
        <w:rPr>
          <w:rFonts w:ascii="Arial" w:eastAsia="Calibri" w:hAnsi="Arial" w:cs="Arial"/>
          <w:bCs/>
          <w:sz w:val="22"/>
          <w:szCs w:val="22"/>
          <w:lang w:val="fr-FR" w:eastAsia="en-US"/>
        </w:rPr>
        <w:t>.</w:t>
      </w:r>
    </w:p>
    <w:p w:rsidR="00B516BF" w:rsidRDefault="00B516BF" w:rsidP="00B516BF">
      <w:pPr>
        <w:pStyle w:val="Default"/>
        <w:jc w:val="both"/>
        <w:rPr>
          <w:rFonts w:ascii="Arial" w:eastAsia="Calibri" w:hAnsi="Arial" w:cs="Arial"/>
          <w:bCs/>
          <w:sz w:val="22"/>
          <w:szCs w:val="22"/>
          <w:lang w:val="fr-FR" w:eastAsia="en-US"/>
        </w:rPr>
      </w:pPr>
    </w:p>
    <w:p w:rsidR="00B516BF" w:rsidRDefault="00B516BF" w:rsidP="00CE3594">
      <w:pPr>
        <w:pStyle w:val="Default"/>
        <w:jc w:val="both"/>
        <w:rPr>
          <w:rFonts w:ascii="Arial" w:eastAsia="Calibri" w:hAnsi="Arial" w:cs="Arial"/>
          <w:bCs/>
          <w:sz w:val="22"/>
          <w:szCs w:val="22"/>
          <w:lang w:val="fr-FR" w:eastAsia="en-US"/>
        </w:rPr>
      </w:pPr>
      <w:r>
        <w:rPr>
          <w:rFonts w:ascii="Arial" w:eastAsia="Calibri" w:hAnsi="Arial" w:cs="Arial"/>
          <w:bCs/>
          <w:sz w:val="22"/>
          <w:szCs w:val="22"/>
          <w:lang w:val="fr-FR" w:eastAsia="en-US"/>
        </w:rPr>
        <w:t>C</w:t>
      </w:r>
      <w:r w:rsidRPr="00D8732C">
        <w:rPr>
          <w:rFonts w:ascii="Arial" w:eastAsia="Calibri" w:hAnsi="Arial" w:cs="Arial"/>
          <w:bCs/>
          <w:sz w:val="22"/>
          <w:szCs w:val="22"/>
          <w:lang w:val="fr-FR" w:eastAsia="en-US"/>
        </w:rPr>
        <w:t xml:space="preserve">es deux règlements européens sont d’application directe depuis le 4 mars 2011 dans tous les Etats membres. Or, chaque Etat membre </w:t>
      </w:r>
      <w:r>
        <w:rPr>
          <w:rFonts w:ascii="Arial" w:eastAsia="Calibri" w:hAnsi="Arial" w:cs="Arial"/>
          <w:bCs/>
          <w:sz w:val="22"/>
          <w:szCs w:val="22"/>
          <w:lang w:val="fr-FR" w:eastAsia="en-US"/>
        </w:rPr>
        <w:t xml:space="preserve">doit </w:t>
      </w:r>
      <w:r w:rsidRPr="00D8732C">
        <w:rPr>
          <w:rFonts w:ascii="Arial" w:eastAsia="Calibri" w:hAnsi="Arial" w:cs="Arial"/>
          <w:bCs/>
          <w:sz w:val="22"/>
          <w:szCs w:val="22"/>
          <w:lang w:val="fr-FR" w:eastAsia="en-US"/>
        </w:rPr>
        <w:t>définir l’autorité compétente à laquelle les règlements confèrent le droit d’octroyer des autorisations et agréments, de procéder à des contrôles et à la recherche d’infractions</w:t>
      </w:r>
      <w:r>
        <w:rPr>
          <w:rFonts w:ascii="Arial" w:eastAsia="Calibri" w:hAnsi="Arial" w:cs="Arial"/>
          <w:bCs/>
          <w:sz w:val="22"/>
          <w:szCs w:val="22"/>
          <w:lang w:val="fr-FR" w:eastAsia="en-US"/>
        </w:rPr>
        <w:t xml:space="preserve">, d’une part, et </w:t>
      </w:r>
      <w:r w:rsidRPr="00D8732C">
        <w:rPr>
          <w:rFonts w:ascii="Arial" w:eastAsia="Calibri" w:hAnsi="Arial" w:cs="Arial"/>
          <w:bCs/>
          <w:sz w:val="22"/>
          <w:szCs w:val="22"/>
          <w:lang w:val="fr-FR" w:eastAsia="en-US"/>
        </w:rPr>
        <w:t>les sanctions applicables en cas de manquement aux prescriptions des règlements</w:t>
      </w:r>
      <w:r>
        <w:rPr>
          <w:rFonts w:ascii="Arial" w:eastAsia="Calibri" w:hAnsi="Arial" w:cs="Arial"/>
          <w:bCs/>
          <w:sz w:val="22"/>
          <w:szCs w:val="22"/>
          <w:lang w:val="fr-FR" w:eastAsia="en-US"/>
        </w:rPr>
        <w:t>, d’autre part</w:t>
      </w:r>
      <w:r w:rsidRPr="00D8732C">
        <w:rPr>
          <w:rFonts w:ascii="Arial" w:eastAsia="Calibri" w:hAnsi="Arial" w:cs="Arial"/>
          <w:bCs/>
          <w:sz w:val="22"/>
          <w:szCs w:val="22"/>
          <w:lang w:val="fr-FR" w:eastAsia="en-US"/>
        </w:rPr>
        <w:t xml:space="preserve">. </w:t>
      </w:r>
    </w:p>
    <w:p w:rsidR="00B516BF" w:rsidRDefault="00B516BF" w:rsidP="00CE3594">
      <w:pPr>
        <w:pStyle w:val="Default"/>
        <w:jc w:val="both"/>
        <w:rPr>
          <w:rFonts w:ascii="Arial" w:eastAsia="Calibri" w:hAnsi="Arial" w:cs="Arial"/>
          <w:bCs/>
          <w:sz w:val="22"/>
          <w:szCs w:val="22"/>
          <w:lang w:val="fr-FR" w:eastAsia="en-US"/>
        </w:rPr>
      </w:pPr>
    </w:p>
    <w:p w:rsidR="00CE3594" w:rsidRPr="00D8732C" w:rsidRDefault="00B516BF" w:rsidP="00CE3594">
      <w:pPr>
        <w:pStyle w:val="Default"/>
        <w:jc w:val="both"/>
        <w:rPr>
          <w:rFonts w:ascii="Arial" w:eastAsia="Calibri" w:hAnsi="Arial" w:cs="Arial"/>
          <w:bCs/>
          <w:sz w:val="22"/>
          <w:szCs w:val="22"/>
          <w:lang w:val="fr-FR" w:eastAsia="en-US"/>
        </w:rPr>
      </w:pPr>
      <w:r>
        <w:rPr>
          <w:rFonts w:ascii="Arial" w:eastAsia="Calibri" w:hAnsi="Arial" w:cs="Arial"/>
          <w:bCs/>
          <w:sz w:val="22"/>
          <w:szCs w:val="22"/>
          <w:lang w:val="fr-FR" w:eastAsia="en-US"/>
        </w:rPr>
        <w:t>Partant, c</w:t>
      </w:r>
      <w:r w:rsidR="00CE3594" w:rsidRPr="00D8732C">
        <w:rPr>
          <w:rFonts w:ascii="Arial" w:eastAsia="Calibri" w:hAnsi="Arial" w:cs="Arial"/>
          <w:bCs/>
          <w:sz w:val="22"/>
          <w:szCs w:val="22"/>
          <w:lang w:val="fr-FR" w:eastAsia="en-US"/>
        </w:rPr>
        <w:t>e projet de loi définit le ministre ayant l’Agriculture dans ses attributions comme autorité compétente aux fins de l’application de la</w:t>
      </w:r>
      <w:r>
        <w:rPr>
          <w:rFonts w:ascii="Arial" w:eastAsia="Calibri" w:hAnsi="Arial" w:cs="Arial"/>
          <w:bCs/>
          <w:sz w:val="22"/>
          <w:szCs w:val="22"/>
          <w:lang w:val="fr-FR" w:eastAsia="en-US"/>
        </w:rPr>
        <w:t>dite</w:t>
      </w:r>
      <w:r w:rsidR="00CE3594" w:rsidRPr="00D8732C">
        <w:rPr>
          <w:rFonts w:ascii="Arial" w:eastAsia="Calibri" w:hAnsi="Arial" w:cs="Arial"/>
          <w:bCs/>
          <w:sz w:val="22"/>
          <w:szCs w:val="22"/>
          <w:lang w:val="fr-FR" w:eastAsia="en-US"/>
        </w:rPr>
        <w:t xml:space="preserve"> réglementation. Plus concrètement, l’Administration des services vétérinaires est compétente pour la gestion des cadavres et des déchets de produits d’origine animale, leur collecte, leur transformation et leur élimination. L’Administration de l’environnement et l’Inspection du travail et des mines sont compétentes pour les demandes d’autorisation concernant les installations d’entreposage, de transformation et d’élimination des sous-produits animaux. L’Administration des services techniques de l’agriculture est compétente pour les dispositions concernant l’utilisation de sous-produits animaux transformés ou non comme aliments pour animaux ou comme engrais organiques et amendements des sols. </w:t>
      </w:r>
    </w:p>
    <w:p w:rsidR="00CE3594" w:rsidRPr="00D8732C" w:rsidRDefault="00CE3594" w:rsidP="00CE3594">
      <w:pPr>
        <w:pStyle w:val="Default"/>
        <w:jc w:val="both"/>
        <w:rPr>
          <w:rFonts w:ascii="Arial" w:eastAsia="Calibri" w:hAnsi="Arial" w:cs="Arial"/>
          <w:bCs/>
          <w:sz w:val="22"/>
          <w:szCs w:val="22"/>
          <w:lang w:val="fr-FR" w:eastAsia="en-US"/>
        </w:rPr>
      </w:pPr>
    </w:p>
    <w:p w:rsidR="00C718E0" w:rsidRPr="00B516BF" w:rsidRDefault="00B516BF" w:rsidP="00B516BF">
      <w:pPr>
        <w:pStyle w:val="Default"/>
        <w:jc w:val="both"/>
        <w:rPr>
          <w:rFonts w:ascii="Arial" w:eastAsia="Calibri" w:hAnsi="Arial" w:cs="Arial"/>
          <w:bCs/>
          <w:sz w:val="22"/>
          <w:szCs w:val="22"/>
          <w:lang w:val="fr-FR" w:eastAsia="en-US"/>
        </w:rPr>
      </w:pPr>
      <w:r>
        <w:rPr>
          <w:rFonts w:ascii="Arial" w:eastAsia="Calibri" w:hAnsi="Arial" w:cs="Arial"/>
          <w:bCs/>
          <w:sz w:val="22"/>
          <w:szCs w:val="22"/>
          <w:lang w:val="fr-FR" w:eastAsia="en-US"/>
        </w:rPr>
        <w:t>L</w:t>
      </w:r>
      <w:r w:rsidR="00CE3594" w:rsidRPr="00D8732C">
        <w:rPr>
          <w:rFonts w:ascii="Arial" w:eastAsia="Calibri" w:hAnsi="Arial" w:cs="Arial"/>
          <w:bCs/>
          <w:sz w:val="22"/>
          <w:szCs w:val="22"/>
          <w:lang w:val="fr-FR" w:eastAsia="en-US"/>
        </w:rPr>
        <w:t>es personnes en charge desdits contrôles</w:t>
      </w:r>
      <w:r>
        <w:rPr>
          <w:rFonts w:ascii="Arial" w:eastAsia="Calibri" w:hAnsi="Arial" w:cs="Arial"/>
          <w:bCs/>
          <w:sz w:val="22"/>
          <w:szCs w:val="22"/>
          <w:lang w:val="fr-FR" w:eastAsia="en-US"/>
        </w:rPr>
        <w:t>,</w:t>
      </w:r>
      <w:r w:rsidR="00CE3594" w:rsidRPr="00D8732C">
        <w:rPr>
          <w:rFonts w:ascii="Arial" w:eastAsia="Calibri" w:hAnsi="Arial" w:cs="Arial"/>
          <w:bCs/>
          <w:sz w:val="22"/>
          <w:szCs w:val="22"/>
          <w:lang w:val="fr-FR" w:eastAsia="en-US"/>
        </w:rPr>
        <w:t xml:space="preserve"> tout comme les sanctions administratives et pénales applicables en cas d’infraction</w:t>
      </w:r>
      <w:r>
        <w:rPr>
          <w:rFonts w:ascii="Arial" w:eastAsia="Calibri" w:hAnsi="Arial" w:cs="Arial"/>
          <w:bCs/>
          <w:sz w:val="22"/>
          <w:szCs w:val="22"/>
          <w:lang w:val="fr-FR" w:eastAsia="en-US"/>
        </w:rPr>
        <w:t xml:space="preserve">, sont également définies comme les </w:t>
      </w:r>
      <w:r w:rsidR="00CE3594" w:rsidRPr="00D8732C">
        <w:rPr>
          <w:rFonts w:ascii="Arial" w:eastAsia="Calibri" w:hAnsi="Arial" w:cs="Arial"/>
          <w:bCs/>
          <w:sz w:val="22"/>
          <w:szCs w:val="22"/>
          <w:lang w:val="fr-FR" w:eastAsia="en-US"/>
        </w:rPr>
        <w:t xml:space="preserve">procédures </w:t>
      </w:r>
      <w:r>
        <w:rPr>
          <w:rFonts w:ascii="Arial" w:eastAsia="Calibri" w:hAnsi="Arial" w:cs="Arial"/>
          <w:bCs/>
          <w:sz w:val="22"/>
          <w:szCs w:val="22"/>
          <w:lang w:val="fr-FR" w:eastAsia="en-US"/>
        </w:rPr>
        <w:t>d’enregistrement et d’agrément.</w:t>
      </w:r>
    </w:p>
    <w:sectPr w:rsidR="00C718E0" w:rsidRPr="00B516BF"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93CD3"/>
    <w:multiLevelType w:val="hybridMultilevel"/>
    <w:tmpl w:val="D09C8C02"/>
    <w:lvl w:ilvl="0" w:tplc="9A84412E">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F78"/>
    <w:rsid w:val="00082ACE"/>
    <w:rsid w:val="001B1185"/>
    <w:rsid w:val="001E1E01"/>
    <w:rsid w:val="002177BF"/>
    <w:rsid w:val="002A2F81"/>
    <w:rsid w:val="002A69C5"/>
    <w:rsid w:val="0033013B"/>
    <w:rsid w:val="00694576"/>
    <w:rsid w:val="006C696A"/>
    <w:rsid w:val="00743AF4"/>
    <w:rsid w:val="007913C7"/>
    <w:rsid w:val="007924AF"/>
    <w:rsid w:val="00856304"/>
    <w:rsid w:val="009C0A9D"/>
    <w:rsid w:val="00A47F78"/>
    <w:rsid w:val="00B516BF"/>
    <w:rsid w:val="00C718E0"/>
    <w:rsid w:val="00C83592"/>
    <w:rsid w:val="00CE3594"/>
    <w:rsid w:val="00D2379E"/>
    <w:rsid w:val="00D93BC5"/>
    <w:rsid w:val="00E520BE"/>
    <w:rsid w:val="00EA5171"/>
    <w:rsid w:val="00EB0492"/>
    <w:rsid w:val="00F772D4"/>
    <w:rsid w:val="00F9077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BA5916-B791-4126-9B0D-1FB3F832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92"/>
    <w:pPr>
      <w:jc w:val="both"/>
    </w:pPr>
    <w:rPr>
      <w:dstrike/>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47F7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A47F78"/>
    <w:rPr>
      <w:rFonts w:ascii="Cambria" w:eastAsia="Times New Roman" w:hAnsi="Cambria" w:cs="Times New Roman"/>
      <w:color w:val="17365D"/>
      <w:spacing w:val="5"/>
      <w:kern w:val="28"/>
      <w:sz w:val="52"/>
      <w:szCs w:val="52"/>
    </w:rPr>
  </w:style>
  <w:style w:type="character" w:styleId="Accentuation">
    <w:name w:val="Emphasis"/>
    <w:basedOn w:val="Policepardfaut"/>
    <w:uiPriority w:val="20"/>
    <w:qFormat/>
    <w:rsid w:val="00694576"/>
    <w:rPr>
      <w:b/>
      <w:bCs/>
      <w:i w:val="0"/>
      <w:iCs w:val="0"/>
    </w:rPr>
  </w:style>
  <w:style w:type="paragraph" w:customStyle="1" w:styleId="Default">
    <w:name w:val="Default"/>
    <w:rsid w:val="00CE3594"/>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