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C8E0A1" w14:textId="77777777" w:rsidR="0055181C" w:rsidRDefault="0055181C">
      <w:pPr>
        <w:jc w:val="center"/>
      </w:pPr>
    </w:p>
    <w:p w14:paraId="285E3CF5" w14:textId="77777777" w:rsidR="0055181C" w:rsidRDefault="0055181C">
      <w:pPr>
        <w:jc w:val="center"/>
      </w:pPr>
    </w:p>
    <w:tbl>
      <w:tblPr>
        <w:tblW w:w="0" w:type="auto"/>
        <w:jc w:val="center"/>
        <w:tblLayout w:type="fixed"/>
        <w:tblCellMar>
          <w:left w:w="10" w:type="dxa"/>
          <w:right w:w="10" w:type="dxa"/>
        </w:tblCellMar>
        <w:tblLook w:val="04A0" w:firstRow="1" w:lastRow="0" w:firstColumn="1" w:lastColumn="0" w:noHBand="0" w:noVBand="1"/>
      </w:tblPr>
      <w:tblGrid>
        <w:gridCol w:w="4535"/>
        <w:gridCol w:w="4535"/>
      </w:tblGrid>
      <w:tr w:rsidR="0055181C" w14:paraId="2CF7CFC2" w14:textId="77777777">
        <w:trPr>
          <w:jc w:val="center"/>
        </w:trPr>
        <w:tc>
          <w:tcPr>
            <w:tcW w:w="4535" w:type="dxa"/>
          </w:tcPr>
          <w:p w14:paraId="42554CE2" w14:textId="46CFBB0C" w:rsidR="0055181C" w:rsidRDefault="00767D5E">
            <w:pPr>
              <w:ind w:left="70"/>
            </w:pPr>
            <w:r>
              <w:rPr>
                <w:rFonts w:eastAsia="Arial" w:cs="Arial"/>
                <w:color w:val="000000"/>
              </w:rPr>
              <w:t>PKO, CSO</w:t>
            </w:r>
          </w:p>
        </w:tc>
        <w:tc>
          <w:tcPr>
            <w:tcW w:w="4535" w:type="dxa"/>
          </w:tcPr>
          <w:p w14:paraId="1E32FF18" w14:textId="75C4817E" w:rsidR="00A40312" w:rsidRDefault="003B7E6F" w:rsidP="006F1F16">
            <w:pPr>
              <w:ind w:left="70"/>
              <w:jc w:val="right"/>
              <w:rPr>
                <w:rFonts w:eastAsia="Arial" w:cs="Arial"/>
                <w:color w:val="000000"/>
              </w:rPr>
            </w:pPr>
            <w:r>
              <w:rPr>
                <w:rFonts w:eastAsia="Arial" w:cs="Arial"/>
                <w:color w:val="000000"/>
              </w:rPr>
              <w:t xml:space="preserve">P.V. </w:t>
            </w:r>
            <w:r w:rsidR="005262CF">
              <w:rPr>
                <w:rFonts w:eastAsia="Arial" w:cs="Arial"/>
                <w:color w:val="000000"/>
              </w:rPr>
              <w:t>EXBU23</w:t>
            </w:r>
            <w:r>
              <w:rPr>
                <w:rFonts w:eastAsia="Arial" w:cs="Arial"/>
                <w:color w:val="000000"/>
              </w:rPr>
              <w:t xml:space="preserve"> </w:t>
            </w:r>
            <w:r w:rsidR="00ED4137" w:rsidRPr="00ED4137">
              <w:rPr>
                <w:rFonts w:eastAsia="Arial" w:cs="Arial"/>
                <w:color w:val="000000"/>
              </w:rPr>
              <w:t>61</w:t>
            </w:r>
          </w:p>
          <w:p w14:paraId="5D7357AF" w14:textId="78ACF4A9" w:rsidR="005262CF" w:rsidRPr="006F1F16" w:rsidRDefault="005262CF" w:rsidP="006F1F16">
            <w:pPr>
              <w:ind w:left="70"/>
              <w:jc w:val="right"/>
              <w:rPr>
                <w:rFonts w:eastAsia="Arial" w:cs="Arial"/>
                <w:color w:val="000000"/>
              </w:rPr>
            </w:pPr>
          </w:p>
        </w:tc>
      </w:tr>
    </w:tbl>
    <w:p w14:paraId="32FFA85A" w14:textId="77777777" w:rsidR="00E001B6" w:rsidRPr="002658DC" w:rsidRDefault="00E001B6" w:rsidP="00DC5E52">
      <w:pPr>
        <w:jc w:val="center"/>
        <w:rPr>
          <w:bCs/>
          <w:szCs w:val="22"/>
        </w:rPr>
      </w:pPr>
    </w:p>
    <w:p w14:paraId="61B879C5" w14:textId="6519180C" w:rsidR="003775B3" w:rsidRPr="002658DC" w:rsidRDefault="00EC1E24" w:rsidP="00E001B6">
      <w:pPr>
        <w:jc w:val="center"/>
        <w:rPr>
          <w:b/>
          <w:sz w:val="28"/>
          <w:szCs w:val="28"/>
        </w:rPr>
      </w:pPr>
      <w:r w:rsidRPr="002658DC">
        <w:rPr>
          <w:b/>
          <w:sz w:val="28"/>
          <w:szCs w:val="28"/>
        </w:rPr>
        <w:t>Commission de l</w:t>
      </w:r>
      <w:r w:rsidR="00931A59">
        <w:rPr>
          <w:b/>
          <w:sz w:val="28"/>
          <w:szCs w:val="28"/>
        </w:rPr>
        <w:t>’</w:t>
      </w:r>
      <w:r w:rsidRPr="002658DC">
        <w:rPr>
          <w:b/>
          <w:sz w:val="28"/>
          <w:szCs w:val="28"/>
        </w:rPr>
        <w:t>Exécution budgétaire</w:t>
      </w:r>
    </w:p>
    <w:p w14:paraId="007377A8" w14:textId="6203A033" w:rsidR="00F31606" w:rsidRPr="002658DC" w:rsidRDefault="00F31606" w:rsidP="002658DC">
      <w:pPr>
        <w:jc w:val="center"/>
        <w:rPr>
          <w:rFonts w:eastAsia="Arial" w:cs="Arial"/>
          <w:bCs/>
          <w:szCs w:val="16"/>
        </w:rPr>
      </w:pPr>
      <w:bookmarkStart w:id="0" w:name="_Hlk212932803"/>
      <w:bookmarkEnd w:id="0"/>
    </w:p>
    <w:p w14:paraId="7991FCCD" w14:textId="77777777" w:rsidR="00F31606" w:rsidRPr="001C1D95" w:rsidRDefault="008C29B6" w:rsidP="00C06797">
      <w:pPr>
        <w:jc w:val="center"/>
        <w:rPr>
          <w:rFonts w:eastAsia="Arial" w:cs="Arial"/>
          <w:b/>
          <w:color w:val="90073A"/>
          <w:szCs w:val="22"/>
        </w:rPr>
      </w:pPr>
      <w:r w:rsidRPr="001C1D95">
        <w:rPr>
          <w:rFonts w:eastAsia="Arial" w:cs="Arial"/>
          <w:b/>
          <w:color w:val="90073A"/>
          <w:szCs w:val="22"/>
          <w:u w:val="single"/>
        </w:rPr>
        <w:t>Réunion retransmise en</w:t>
      </w:r>
      <w:r w:rsidR="001948A3" w:rsidRPr="001C1D95">
        <w:rPr>
          <w:rFonts w:eastAsia="Arial" w:cs="Arial"/>
          <w:b/>
          <w:color w:val="90073A"/>
          <w:szCs w:val="22"/>
          <w:u w:val="single"/>
        </w:rPr>
        <w:t xml:space="preserve"> </w:t>
      </w:r>
      <w:r w:rsidRPr="001C1D95">
        <w:rPr>
          <w:rFonts w:eastAsia="Arial" w:cs="Arial"/>
          <w:b/>
          <w:color w:val="90073A"/>
          <w:szCs w:val="22"/>
          <w:u w:val="single"/>
        </w:rPr>
        <w:t>direc</w:t>
      </w:r>
      <w:r w:rsidR="00202954" w:rsidRPr="001C1D95">
        <w:rPr>
          <w:rFonts w:eastAsia="Arial" w:cs="Arial"/>
          <w:b/>
          <w:color w:val="90073A"/>
          <w:szCs w:val="22"/>
          <w:u w:val="single"/>
        </w:rPr>
        <w:t>t</w:t>
      </w:r>
      <w:r w:rsidR="00202954" w:rsidRPr="001C1D95">
        <w:rPr>
          <w:rFonts w:eastAsia="Arial" w:cs="Arial"/>
          <w:b/>
          <w:color w:val="90073A"/>
          <w:szCs w:val="22"/>
        </w:rPr>
        <w:t>¹</w:t>
      </w:r>
    </w:p>
    <w:p w14:paraId="55DD3568" w14:textId="363CF002" w:rsidR="0055181C" w:rsidRPr="002658DC" w:rsidRDefault="0055181C" w:rsidP="00F31606">
      <w:pPr>
        <w:jc w:val="center"/>
        <w:rPr>
          <w:rFonts w:eastAsia="Arial" w:cs="Arial"/>
          <w:bCs/>
          <w:szCs w:val="22"/>
        </w:rPr>
      </w:pPr>
    </w:p>
    <w:p w14:paraId="2256A8C1" w14:textId="07157EBA" w:rsidR="0055181C" w:rsidRDefault="003B7E6F">
      <w:pPr>
        <w:jc w:val="center"/>
      </w:pPr>
      <w:r w:rsidRPr="001948A3">
        <w:rPr>
          <w:rFonts w:eastAsia="Arial" w:cs="Arial"/>
          <w:b/>
          <w:color w:val="000000"/>
          <w:szCs w:val="22"/>
          <w:u w:val="single"/>
        </w:rPr>
        <w:t>Procès-ve</w:t>
      </w:r>
      <w:r>
        <w:rPr>
          <w:rFonts w:eastAsia="Arial" w:cs="Arial"/>
          <w:b/>
          <w:color w:val="000000"/>
          <w:u w:val="single"/>
        </w:rPr>
        <w:t xml:space="preserve">rbal de la réunion du </w:t>
      </w:r>
      <w:r w:rsidR="007E2F01">
        <w:rPr>
          <w:rFonts w:eastAsia="Arial" w:cs="Arial"/>
          <w:b/>
          <w:color w:val="000000"/>
          <w:u w:val="single"/>
        </w:rPr>
        <w:t>13 avril 2026</w:t>
      </w:r>
    </w:p>
    <w:p w14:paraId="7194C303" w14:textId="77777777" w:rsidR="0055181C" w:rsidRPr="002658DC" w:rsidRDefault="0055181C">
      <w:pPr>
        <w:jc w:val="center"/>
        <w:rPr>
          <w:szCs w:val="22"/>
        </w:rPr>
      </w:pPr>
    </w:p>
    <w:p w14:paraId="730A2E31" w14:textId="77777777" w:rsidR="0055181C" w:rsidRDefault="003B7E6F">
      <w:pPr>
        <w:jc w:val="center"/>
      </w:pPr>
      <w:r>
        <w:rPr>
          <w:rFonts w:eastAsia="Arial" w:cs="Arial"/>
          <w:color w:val="000000"/>
          <w:u w:val="single"/>
        </w:rPr>
        <w:t>Ordre du jour</w:t>
      </w:r>
      <w:r w:rsidRPr="007E2F01">
        <w:rPr>
          <w:rFonts w:eastAsia="Arial" w:cs="Arial"/>
          <w:color w:val="000000"/>
        </w:rPr>
        <w:t xml:space="preserve"> :</w:t>
      </w:r>
    </w:p>
    <w:p w14:paraId="689B016A" w14:textId="77777777" w:rsidR="0055181C" w:rsidRPr="002658DC" w:rsidRDefault="0055181C">
      <w:pPr>
        <w:jc w:val="center"/>
        <w:rPr>
          <w:szCs w:val="22"/>
        </w:rPr>
      </w:pPr>
    </w:p>
    <w:tbl>
      <w:tblPr>
        <w:tblW w:w="9091" w:type="dxa"/>
        <w:jc w:val="center"/>
        <w:tblLayout w:type="fixed"/>
        <w:tblCellMar>
          <w:left w:w="10" w:type="dxa"/>
          <w:right w:w="10" w:type="dxa"/>
        </w:tblCellMar>
        <w:tblLook w:val="04A0" w:firstRow="1" w:lastRow="0" w:firstColumn="1" w:lastColumn="0" w:noHBand="0" w:noVBand="1"/>
      </w:tblPr>
      <w:tblGrid>
        <w:gridCol w:w="566"/>
        <w:gridCol w:w="861"/>
        <w:gridCol w:w="7664"/>
      </w:tblGrid>
      <w:tr w:rsidR="0055181C" w14:paraId="73A55F5F" w14:textId="77777777" w:rsidTr="00A57D8C">
        <w:trPr>
          <w:jc w:val="center"/>
        </w:trPr>
        <w:tc>
          <w:tcPr>
            <w:tcW w:w="566" w:type="dxa"/>
          </w:tcPr>
          <w:p w14:paraId="1D9223D7" w14:textId="13389FE8" w:rsidR="0055181C" w:rsidRPr="00DC60BB" w:rsidRDefault="00DC60BB" w:rsidP="00DC60BB">
            <w:pPr>
              <w:rPr>
                <w:rFonts w:eastAsia="Arial" w:cs="Arial"/>
                <w:color w:val="000000"/>
                <w:szCs w:val="22"/>
                <w:lang w:val="en-US"/>
              </w:rPr>
            </w:pPr>
            <w:r w:rsidRPr="00DC60BB">
              <w:rPr>
                <w:rFonts w:eastAsia="Arial" w:cs="Arial"/>
                <w:color w:val="000000"/>
                <w:szCs w:val="22"/>
              </w:rPr>
              <w:t>1</w:t>
            </w:r>
            <w:r w:rsidR="003B7E6F" w:rsidRPr="00DC60BB">
              <w:rPr>
                <w:rFonts w:eastAsia="Arial" w:cs="Arial"/>
                <w:color w:val="000000"/>
                <w:szCs w:val="22"/>
              </w:rPr>
              <w:t>.</w:t>
            </w:r>
          </w:p>
        </w:tc>
        <w:tc>
          <w:tcPr>
            <w:tcW w:w="861" w:type="dxa"/>
          </w:tcPr>
          <w:p w14:paraId="5F2A1172" w14:textId="6296CBDF" w:rsidR="0055181C" w:rsidRPr="00DC60BB" w:rsidRDefault="0055181C" w:rsidP="00DC60BB">
            <w:pPr>
              <w:rPr>
                <w:szCs w:val="22"/>
              </w:rPr>
            </w:pPr>
          </w:p>
        </w:tc>
        <w:tc>
          <w:tcPr>
            <w:tcW w:w="7664" w:type="dxa"/>
          </w:tcPr>
          <w:p w14:paraId="47DD15DA" w14:textId="77777777" w:rsidR="003110FC" w:rsidRDefault="00B41DA0">
            <w:r>
              <w:t>Approbation du projet de procès-verbal de la réunion du 12 janvier 2026</w:t>
            </w:r>
          </w:p>
          <w:p w14:paraId="079C3A58" w14:textId="77777777" w:rsidR="003110FC" w:rsidRDefault="003110FC"/>
          <w:p w14:paraId="0F76F5E6" w14:textId="77777777" w:rsidR="003110FC" w:rsidRDefault="00B41DA0">
            <w:r>
              <w:t>– INST, EXBU23 - Réunion - 12/01/2026</w:t>
            </w:r>
          </w:p>
          <w:p w14:paraId="5C639704" w14:textId="4E181C6D" w:rsidR="0055181C" w:rsidRPr="00DC60BB" w:rsidRDefault="0055181C" w:rsidP="00DC60BB">
            <w:pPr>
              <w:rPr>
                <w:szCs w:val="22"/>
              </w:rPr>
            </w:pPr>
          </w:p>
        </w:tc>
      </w:tr>
      <w:tr w:rsidR="0055181C" w14:paraId="029E78FD" w14:textId="77777777" w:rsidTr="00A57D8C">
        <w:trPr>
          <w:jc w:val="center"/>
        </w:trPr>
        <w:tc>
          <w:tcPr>
            <w:tcW w:w="566" w:type="dxa"/>
          </w:tcPr>
          <w:p w14:paraId="61C4274F" w14:textId="77777777" w:rsidR="0055181C" w:rsidRPr="00DC60BB" w:rsidRDefault="00DC60BB" w:rsidP="00DC60BB">
            <w:pPr>
              <w:rPr>
                <w:rFonts w:eastAsia="Arial" w:cs="Arial"/>
                <w:color w:val="000000"/>
                <w:szCs w:val="22"/>
                <w:lang w:val="en-US"/>
              </w:rPr>
            </w:pPr>
            <w:r w:rsidRPr="00DC60BB">
              <w:rPr>
                <w:rFonts w:eastAsia="Arial" w:cs="Arial"/>
                <w:color w:val="000000"/>
                <w:szCs w:val="22"/>
              </w:rPr>
              <w:t>2</w:t>
            </w:r>
            <w:r w:rsidR="003B7E6F" w:rsidRPr="00DC60BB">
              <w:rPr>
                <w:rFonts w:eastAsia="Arial" w:cs="Arial"/>
                <w:color w:val="000000"/>
                <w:szCs w:val="22"/>
              </w:rPr>
              <w:t>.</w:t>
            </w:r>
          </w:p>
        </w:tc>
        <w:tc>
          <w:tcPr>
            <w:tcW w:w="861" w:type="dxa"/>
          </w:tcPr>
          <w:p w14:paraId="3D24E8BA" w14:textId="77777777" w:rsidR="0055181C" w:rsidRPr="00DC60BB" w:rsidRDefault="0055181C" w:rsidP="00DC60BB">
            <w:pPr>
              <w:rPr>
                <w:szCs w:val="22"/>
              </w:rPr>
            </w:pPr>
          </w:p>
        </w:tc>
        <w:tc>
          <w:tcPr>
            <w:tcW w:w="7664" w:type="dxa"/>
          </w:tcPr>
          <w:p w14:paraId="4C00F80B" w14:textId="35ADC092" w:rsidR="003110FC" w:rsidRDefault="00B41DA0">
            <w:r>
              <w:t>Présentation du rapport spécial de la Cour portant sur le soutien financier accordé par l</w:t>
            </w:r>
            <w:r w:rsidR="00931A59">
              <w:t>’</w:t>
            </w:r>
            <w:r>
              <w:t>Etat dans le cadre de la loi modifiée du 8 septembre 1998 réglant les relations entre l</w:t>
            </w:r>
            <w:r w:rsidR="00931A59">
              <w:t>’</w:t>
            </w:r>
            <w:r>
              <w:t xml:space="preserve">Etat et les organismes œuvrant dans </w:t>
            </w:r>
            <w:proofErr w:type="gramStart"/>
            <w:r>
              <w:t>les domaines social</w:t>
            </w:r>
            <w:proofErr w:type="gramEnd"/>
            <w:r>
              <w:t>, familial et thérapeutique</w:t>
            </w:r>
          </w:p>
          <w:p w14:paraId="5C389AFB" w14:textId="77777777" w:rsidR="0055181C" w:rsidRPr="00DC60BB" w:rsidRDefault="0055181C" w:rsidP="00DC60BB">
            <w:pPr>
              <w:rPr>
                <w:szCs w:val="22"/>
              </w:rPr>
            </w:pPr>
          </w:p>
        </w:tc>
      </w:tr>
    </w:tbl>
    <w:p w14:paraId="25B881C6" w14:textId="77777777" w:rsidR="0055181C" w:rsidRDefault="003B7E6F">
      <w:pPr>
        <w:jc w:val="center"/>
      </w:pPr>
      <w:r>
        <w:rPr>
          <w:rFonts w:eastAsia="Arial" w:cs="Arial"/>
          <w:color w:val="000000"/>
        </w:rPr>
        <w:t>*</w:t>
      </w:r>
    </w:p>
    <w:p w14:paraId="32574A58" w14:textId="77777777" w:rsidR="0055181C" w:rsidRPr="00DC60BB" w:rsidRDefault="0055181C">
      <w:pPr>
        <w:jc w:val="center"/>
        <w:rPr>
          <w:szCs w:val="22"/>
        </w:rPr>
      </w:pPr>
    </w:p>
    <w:tbl>
      <w:tblPr>
        <w:tblW w:w="9094" w:type="dxa"/>
        <w:jc w:val="center"/>
        <w:tblLayout w:type="fixed"/>
        <w:tblCellMar>
          <w:left w:w="10" w:type="dxa"/>
          <w:right w:w="10" w:type="dxa"/>
        </w:tblCellMar>
        <w:tblLook w:val="04A0" w:firstRow="1" w:lastRow="0" w:firstColumn="1" w:lastColumn="0" w:noHBand="0" w:noVBand="1"/>
      </w:tblPr>
      <w:tblGrid>
        <w:gridCol w:w="1429"/>
        <w:gridCol w:w="7665"/>
      </w:tblGrid>
      <w:tr w:rsidR="0055181C" w14:paraId="38F5DE41" w14:textId="77777777" w:rsidTr="00E01358">
        <w:trPr>
          <w:jc w:val="center"/>
        </w:trPr>
        <w:tc>
          <w:tcPr>
            <w:tcW w:w="1429" w:type="dxa"/>
          </w:tcPr>
          <w:p w14:paraId="59CBDB66" w14:textId="77777777" w:rsidR="0055181C" w:rsidRDefault="003B7E6F">
            <w:pPr>
              <w:ind w:left="70"/>
            </w:pPr>
            <w:r>
              <w:rPr>
                <w:rFonts w:eastAsia="Arial" w:cs="Arial"/>
                <w:color w:val="000000"/>
                <w:u w:val="single"/>
              </w:rPr>
              <w:t>Présents</w:t>
            </w:r>
            <w:r>
              <w:rPr>
                <w:rFonts w:eastAsia="Arial" w:cs="Arial"/>
                <w:color w:val="000000"/>
              </w:rPr>
              <w:t xml:space="preserve"> :</w:t>
            </w:r>
          </w:p>
        </w:tc>
        <w:tc>
          <w:tcPr>
            <w:tcW w:w="7665" w:type="dxa"/>
          </w:tcPr>
          <w:p w14:paraId="3BC2CAE9" w14:textId="4A014201" w:rsidR="003110FC" w:rsidRDefault="00B41DA0">
            <w:r>
              <w:t xml:space="preserve">Mme Diane Adehm, M. Guy Arendt, M. André Bauler, M. Dan Biancalana, M. Jeff Boonen, M. Franz Fayot, M. Marc Goergen </w:t>
            </w:r>
            <w:r w:rsidR="00945923">
              <w:t>(</w:t>
            </w:r>
            <w:r>
              <w:t>remplaçant M. Sven Clement</w:t>
            </w:r>
            <w:r w:rsidR="00945923">
              <w:t>)</w:t>
            </w:r>
            <w:r>
              <w:t xml:space="preserve">, M. Patrick Goldschmidt, Mme Françoise Kemp, Mme Alexandra Schoos </w:t>
            </w:r>
            <w:r w:rsidR="00945923">
              <w:t>(</w:t>
            </w:r>
            <w:r>
              <w:t>remplaçant M. Fred Keup</w:t>
            </w:r>
            <w:r w:rsidR="00945923">
              <w:t>)</w:t>
            </w:r>
            <w:r>
              <w:t>, Mme Sam Tanson, Mme Stéphanie Weydert, membres de la Commission de l</w:t>
            </w:r>
            <w:r w:rsidR="00931A59">
              <w:t>’</w:t>
            </w:r>
            <w:r>
              <w:t>Exécution budgétaire</w:t>
            </w:r>
          </w:p>
          <w:p w14:paraId="578638FB" w14:textId="77777777" w:rsidR="003110FC" w:rsidRDefault="003110FC"/>
          <w:p w14:paraId="37D610E9" w14:textId="597DB4F0" w:rsidR="00945923" w:rsidRDefault="00945923">
            <w:r>
              <w:t>Mme Djuna Bernard, Observateur</w:t>
            </w:r>
          </w:p>
          <w:p w14:paraId="18F01903" w14:textId="77777777" w:rsidR="00945923" w:rsidRDefault="00945923"/>
          <w:p w14:paraId="5344CBCD" w14:textId="448AA693" w:rsidR="003110FC" w:rsidRDefault="00B41DA0">
            <w:r>
              <w:t xml:space="preserve">M. Marc Gengler, </w:t>
            </w:r>
            <w:r w:rsidR="00945923">
              <w:t xml:space="preserve">Président de la </w:t>
            </w:r>
            <w:r>
              <w:t>Cour des comptes</w:t>
            </w:r>
          </w:p>
          <w:p w14:paraId="2A953A94" w14:textId="22ED0D5F" w:rsidR="00945923" w:rsidRDefault="00945923">
            <w:r>
              <w:t>M. Patrick Graffé, Vice-président de la Cour des comptes</w:t>
            </w:r>
          </w:p>
          <w:p w14:paraId="199A50A1" w14:textId="0110025A" w:rsidR="00945923" w:rsidRDefault="00945923">
            <w:r>
              <w:t>M</w:t>
            </w:r>
            <w:r w:rsidR="005E3075">
              <w:t xml:space="preserve">me Carine da Silva, M. Serge </w:t>
            </w:r>
            <w:r w:rsidR="00CC0A43">
              <w:t>Bandeira</w:t>
            </w:r>
            <w:r w:rsidR="005E3075">
              <w:t>, Mme Véronique Welter, Auditeurs à la Cour des comptes</w:t>
            </w:r>
          </w:p>
          <w:p w14:paraId="114B676B" w14:textId="77777777" w:rsidR="003110FC" w:rsidRDefault="003110FC"/>
          <w:p w14:paraId="14CB3596" w14:textId="26336FA8" w:rsidR="003110FC" w:rsidRDefault="005E3075">
            <w:r>
              <w:t xml:space="preserve">Mme Alisa Babacic, M. Yann Flammang, </w:t>
            </w:r>
            <w:r w:rsidR="00B41DA0">
              <w:t>Mme Cristel Sousa, de l</w:t>
            </w:r>
            <w:r w:rsidR="00931A59">
              <w:t>’</w:t>
            </w:r>
            <w:r w:rsidR="00B41DA0">
              <w:t>Administration parlementaire</w:t>
            </w:r>
          </w:p>
        </w:tc>
      </w:tr>
    </w:tbl>
    <w:p w14:paraId="243AA414" w14:textId="581F5674" w:rsidR="0055181C" w:rsidRDefault="0055181C">
      <w:pPr>
        <w:jc w:val="center"/>
      </w:pPr>
    </w:p>
    <w:tbl>
      <w:tblPr>
        <w:tblW w:w="9094" w:type="dxa"/>
        <w:jc w:val="center"/>
        <w:tblLayout w:type="fixed"/>
        <w:tblCellMar>
          <w:left w:w="10" w:type="dxa"/>
          <w:right w:w="10" w:type="dxa"/>
        </w:tblCellMar>
        <w:tblLook w:val="04A0" w:firstRow="1" w:lastRow="0" w:firstColumn="1" w:lastColumn="0" w:noHBand="0" w:noVBand="1"/>
      </w:tblPr>
      <w:tblGrid>
        <w:gridCol w:w="1429"/>
        <w:gridCol w:w="7665"/>
      </w:tblGrid>
      <w:tr w:rsidR="00E10B2C" w14:paraId="4F59FFDD" w14:textId="77777777" w:rsidTr="00B374FB">
        <w:trPr>
          <w:jc w:val="center"/>
        </w:trPr>
        <w:tc>
          <w:tcPr>
            <w:tcW w:w="1429" w:type="dxa"/>
          </w:tcPr>
          <w:p w14:paraId="2B70C9A2" w14:textId="77777777" w:rsidR="00E10B2C" w:rsidRDefault="00E10B2C" w:rsidP="00B374FB">
            <w:pPr>
              <w:ind w:left="70"/>
            </w:pPr>
            <w:r>
              <w:rPr>
                <w:rFonts w:eastAsia="Arial" w:cs="Arial"/>
                <w:color w:val="000000"/>
                <w:u w:val="single"/>
              </w:rPr>
              <w:t>Excusés</w:t>
            </w:r>
            <w:r>
              <w:rPr>
                <w:rFonts w:eastAsia="Arial" w:cs="Arial"/>
                <w:color w:val="000000"/>
              </w:rPr>
              <w:t xml:space="preserve"> :</w:t>
            </w:r>
          </w:p>
        </w:tc>
        <w:tc>
          <w:tcPr>
            <w:tcW w:w="7665" w:type="dxa"/>
          </w:tcPr>
          <w:p w14:paraId="52D37A6E" w14:textId="61469F13" w:rsidR="003110FC" w:rsidRDefault="00B41DA0">
            <w:r>
              <w:t>M. Sven Clement, M. Fred Keup, M. Gérard Schockmel, membres de la Commission de l</w:t>
            </w:r>
            <w:r w:rsidR="00931A59">
              <w:t>’</w:t>
            </w:r>
            <w:r>
              <w:t>Exécution budgétaire</w:t>
            </w:r>
          </w:p>
        </w:tc>
      </w:tr>
    </w:tbl>
    <w:p w14:paraId="365F8CCC" w14:textId="3ED9A160" w:rsidR="00E10B2C" w:rsidRDefault="00E10B2C" w:rsidP="00E10B2C">
      <w:pPr>
        <w:jc w:val="center"/>
      </w:pPr>
    </w:p>
    <w:p w14:paraId="78B56B61" w14:textId="77777777" w:rsidR="0055181C" w:rsidRDefault="003B7E6F">
      <w:pPr>
        <w:jc w:val="center"/>
      </w:pPr>
      <w:r>
        <w:rPr>
          <w:rFonts w:eastAsia="Arial" w:cs="Arial"/>
          <w:color w:val="000000"/>
        </w:rPr>
        <w:t>*</w:t>
      </w:r>
    </w:p>
    <w:p w14:paraId="62E55974" w14:textId="77777777" w:rsidR="0055181C" w:rsidRDefault="0055181C">
      <w:pPr>
        <w:jc w:val="center"/>
      </w:pPr>
    </w:p>
    <w:tbl>
      <w:tblPr>
        <w:tblW w:w="9094" w:type="dxa"/>
        <w:jc w:val="center"/>
        <w:tblLayout w:type="fixed"/>
        <w:tblCellMar>
          <w:left w:w="10" w:type="dxa"/>
          <w:right w:w="10" w:type="dxa"/>
        </w:tblCellMar>
        <w:tblLook w:val="04A0" w:firstRow="1" w:lastRow="0" w:firstColumn="1" w:lastColumn="0" w:noHBand="0" w:noVBand="1"/>
      </w:tblPr>
      <w:tblGrid>
        <w:gridCol w:w="1429"/>
        <w:gridCol w:w="7665"/>
      </w:tblGrid>
      <w:tr w:rsidR="0055181C" w14:paraId="3A0B4F25" w14:textId="77777777" w:rsidTr="00E01358">
        <w:trPr>
          <w:jc w:val="center"/>
        </w:trPr>
        <w:tc>
          <w:tcPr>
            <w:tcW w:w="1429" w:type="dxa"/>
          </w:tcPr>
          <w:p w14:paraId="13A5A2AA" w14:textId="77777777" w:rsidR="0055181C" w:rsidRDefault="003B7E6F">
            <w:pPr>
              <w:ind w:left="70"/>
            </w:pPr>
            <w:r>
              <w:rPr>
                <w:rFonts w:eastAsia="Arial" w:cs="Arial"/>
                <w:color w:val="000000"/>
                <w:u w:val="single"/>
              </w:rPr>
              <w:t>Présidence</w:t>
            </w:r>
            <w:r>
              <w:rPr>
                <w:rFonts w:eastAsia="Arial" w:cs="Arial"/>
                <w:color w:val="000000"/>
              </w:rPr>
              <w:t xml:space="preserve"> :</w:t>
            </w:r>
          </w:p>
        </w:tc>
        <w:tc>
          <w:tcPr>
            <w:tcW w:w="7665" w:type="dxa"/>
          </w:tcPr>
          <w:p w14:paraId="160CBDFB" w14:textId="6D1B3DC8" w:rsidR="003110FC" w:rsidRDefault="00B41DA0">
            <w:r>
              <w:t>M. Franz Fayot, Président de la Commission de l</w:t>
            </w:r>
            <w:r w:rsidR="00931A59">
              <w:t>’</w:t>
            </w:r>
            <w:r>
              <w:t>Exécution budgétaire</w:t>
            </w:r>
          </w:p>
        </w:tc>
      </w:tr>
    </w:tbl>
    <w:p w14:paraId="5EE8185B" w14:textId="77777777" w:rsidR="0055181C" w:rsidRDefault="0055181C">
      <w:pPr>
        <w:jc w:val="center"/>
      </w:pPr>
    </w:p>
    <w:p w14:paraId="08FB33B4" w14:textId="77777777" w:rsidR="0055181C" w:rsidRDefault="003B7E6F">
      <w:pPr>
        <w:jc w:val="center"/>
        <w:rPr>
          <w:rFonts w:eastAsia="Arial" w:cs="Arial"/>
          <w:color w:val="000000"/>
        </w:rPr>
      </w:pPr>
      <w:r>
        <w:rPr>
          <w:rFonts w:eastAsia="Arial" w:cs="Arial"/>
          <w:color w:val="000000"/>
        </w:rPr>
        <w:t>*</w:t>
      </w:r>
    </w:p>
    <w:p w14:paraId="6B11FC1D" w14:textId="77777777" w:rsidR="005904E3" w:rsidRDefault="005904E3">
      <w:pPr>
        <w:jc w:val="center"/>
        <w:rPr>
          <w:rFonts w:eastAsia="Arial" w:cs="Arial"/>
          <w:color w:val="000000"/>
        </w:rPr>
      </w:pPr>
    </w:p>
    <w:p w14:paraId="5BEE03A8" w14:textId="77777777" w:rsidR="005904E3" w:rsidRDefault="005904E3">
      <w:pPr>
        <w:jc w:val="center"/>
        <w:rPr>
          <w:rFonts w:eastAsia="Arial" w:cs="Arial"/>
          <w:color w:val="000000"/>
        </w:rPr>
      </w:pPr>
    </w:p>
    <w:p w14:paraId="3FD4675D" w14:textId="77777777" w:rsidR="005904E3" w:rsidRDefault="005904E3">
      <w:pPr>
        <w:jc w:val="center"/>
        <w:rPr>
          <w:rFonts w:eastAsia="Arial" w:cs="Arial"/>
          <w:color w:val="000000"/>
        </w:rPr>
      </w:pPr>
    </w:p>
    <w:p w14:paraId="36BBF652" w14:textId="77777777" w:rsidR="005904E3" w:rsidRDefault="005904E3">
      <w:pPr>
        <w:jc w:val="center"/>
      </w:pPr>
    </w:p>
    <w:p w14:paraId="27FB2F4C" w14:textId="3467B95F" w:rsidR="0055181C" w:rsidRDefault="0055181C" w:rsidP="00A87A90">
      <w:pPr>
        <w:jc w:val="left"/>
      </w:pPr>
      <w:bookmarkStart w:id="1" w:name="_Hlk213189597"/>
      <w:bookmarkEnd w:id="1"/>
    </w:p>
    <w:tbl>
      <w:tblPr>
        <w:tblW w:w="9091" w:type="dxa"/>
        <w:jc w:val="center"/>
        <w:tblLayout w:type="fixed"/>
        <w:tblCellMar>
          <w:left w:w="10" w:type="dxa"/>
          <w:right w:w="10" w:type="dxa"/>
        </w:tblCellMar>
        <w:tblLook w:val="04A0" w:firstRow="1" w:lastRow="0" w:firstColumn="1" w:lastColumn="0" w:noHBand="0" w:noVBand="1"/>
      </w:tblPr>
      <w:tblGrid>
        <w:gridCol w:w="566"/>
        <w:gridCol w:w="861"/>
        <w:gridCol w:w="7664"/>
      </w:tblGrid>
      <w:tr w:rsidR="0055181C" w14:paraId="222A198C" w14:textId="77777777" w:rsidTr="00DA0B7B">
        <w:trPr>
          <w:jc w:val="center"/>
        </w:trPr>
        <w:tc>
          <w:tcPr>
            <w:tcW w:w="566" w:type="dxa"/>
          </w:tcPr>
          <w:p w14:paraId="6A524535" w14:textId="22E4931A" w:rsidR="0055181C" w:rsidRPr="00114081" w:rsidRDefault="00A87A90" w:rsidP="00A87A90">
            <w:pPr>
              <w:rPr>
                <w:b/>
                <w:bCs/>
              </w:rPr>
            </w:pPr>
            <w:r w:rsidRPr="00A87A90">
              <w:rPr>
                <w:b/>
                <w:bCs/>
              </w:rPr>
              <w:lastRenderedPageBreak/>
              <w:t>1.</w:t>
            </w:r>
          </w:p>
        </w:tc>
        <w:tc>
          <w:tcPr>
            <w:tcW w:w="861" w:type="dxa"/>
          </w:tcPr>
          <w:p w14:paraId="3D659291" w14:textId="1431930D" w:rsidR="0055181C" w:rsidRPr="00114081" w:rsidRDefault="0055181C" w:rsidP="00A87A90">
            <w:pPr>
              <w:rPr>
                <w:b/>
                <w:bCs/>
              </w:rPr>
            </w:pPr>
          </w:p>
        </w:tc>
        <w:tc>
          <w:tcPr>
            <w:tcW w:w="7664" w:type="dxa"/>
          </w:tcPr>
          <w:p w14:paraId="398AF01B" w14:textId="0DFAD1DE" w:rsidR="0055181C" w:rsidRPr="00114081" w:rsidRDefault="00A87A90" w:rsidP="00A87A90">
            <w:pPr>
              <w:rPr>
                <w:b/>
                <w:bCs/>
              </w:rPr>
            </w:pPr>
            <w:r w:rsidRPr="00A87A90">
              <w:rPr>
                <w:rFonts w:eastAsia="Arial" w:cs="Arial"/>
                <w:b/>
                <w:bCs/>
                <w:color w:val="000000"/>
              </w:rPr>
              <w:t>Approbation du projet de procès-verbal de la réunion du 12 janvier 2026</w:t>
            </w:r>
          </w:p>
        </w:tc>
      </w:tr>
    </w:tbl>
    <w:p w14:paraId="45A48F1C" w14:textId="77777777" w:rsidR="00F051BF" w:rsidRDefault="00F051BF" w:rsidP="00A87A90">
      <w:pPr>
        <w:rPr>
          <w:rFonts w:eastAsia="Arial" w:cs="Arial"/>
          <w:color w:val="000000"/>
        </w:rPr>
      </w:pPr>
    </w:p>
    <w:p w14:paraId="1DD9BE6C" w14:textId="2331103E" w:rsidR="00F051BF" w:rsidRDefault="005904E3" w:rsidP="00A87A90">
      <w:pPr>
        <w:rPr>
          <w:rFonts w:eastAsia="Arial" w:cs="Arial"/>
          <w:color w:val="000000"/>
        </w:rPr>
      </w:pPr>
      <w:r w:rsidRPr="002115F0">
        <w:rPr>
          <w:rFonts w:eastAsia="Arial" w:cs="Arial"/>
          <w:color w:val="000000"/>
          <w:u w:val="single"/>
        </w:rPr>
        <w:t>La Commission</w:t>
      </w:r>
      <w:r w:rsidR="002115F0" w:rsidRPr="002115F0">
        <w:rPr>
          <w:rFonts w:eastAsia="Arial" w:cs="Arial"/>
          <w:color w:val="000000"/>
          <w:u w:val="single"/>
        </w:rPr>
        <w:t xml:space="preserve"> de l</w:t>
      </w:r>
      <w:r w:rsidR="00931A59">
        <w:rPr>
          <w:rFonts w:eastAsia="Arial" w:cs="Arial"/>
          <w:color w:val="000000"/>
          <w:u w:val="single"/>
        </w:rPr>
        <w:t>’</w:t>
      </w:r>
      <w:r w:rsidR="002115F0" w:rsidRPr="002115F0">
        <w:rPr>
          <w:rFonts w:eastAsia="Arial" w:cs="Arial"/>
          <w:color w:val="000000"/>
          <w:u w:val="single"/>
        </w:rPr>
        <w:t>Exécution budgétaire</w:t>
      </w:r>
      <w:r w:rsidR="002115F0">
        <w:rPr>
          <w:rFonts w:eastAsia="Arial" w:cs="Arial"/>
          <w:color w:val="000000"/>
        </w:rPr>
        <w:t xml:space="preserve"> (ci-après « Commission »)</w:t>
      </w:r>
      <w:r>
        <w:rPr>
          <w:rFonts w:eastAsia="Arial" w:cs="Arial"/>
          <w:color w:val="000000"/>
        </w:rPr>
        <w:t xml:space="preserve"> approuve le </w:t>
      </w:r>
      <w:r w:rsidRPr="005904E3">
        <w:rPr>
          <w:rFonts w:eastAsia="Arial" w:cs="Arial"/>
          <w:color w:val="000000"/>
        </w:rPr>
        <w:t>projet de procès-verbal de la réunion du 12 janvier 2026</w:t>
      </w:r>
      <w:r>
        <w:rPr>
          <w:rFonts w:eastAsia="Arial" w:cs="Arial"/>
          <w:color w:val="000000"/>
        </w:rPr>
        <w:t>.</w:t>
      </w:r>
    </w:p>
    <w:p w14:paraId="540EA3EA" w14:textId="77777777" w:rsidR="00EB7018" w:rsidRDefault="00EB7018" w:rsidP="00A87A90">
      <w:pPr>
        <w:rPr>
          <w:rFonts w:eastAsia="Arial" w:cs="Arial"/>
          <w:color w:val="000000"/>
        </w:rPr>
      </w:pPr>
    </w:p>
    <w:p w14:paraId="5D7F411F" w14:textId="414BEC8C" w:rsidR="0055181C" w:rsidRPr="004E5D51" w:rsidRDefault="0055181C" w:rsidP="004E5D51">
      <w:pPr>
        <w:rPr>
          <w:rFonts w:eastAsia="Arial" w:cs="Arial"/>
          <w:color w:val="000000"/>
        </w:rPr>
      </w:pPr>
    </w:p>
    <w:tbl>
      <w:tblPr>
        <w:tblW w:w="9091" w:type="dxa"/>
        <w:jc w:val="center"/>
        <w:tblLayout w:type="fixed"/>
        <w:tblCellMar>
          <w:left w:w="10" w:type="dxa"/>
          <w:right w:w="10" w:type="dxa"/>
        </w:tblCellMar>
        <w:tblLook w:val="04A0" w:firstRow="1" w:lastRow="0" w:firstColumn="1" w:lastColumn="0" w:noHBand="0" w:noVBand="1"/>
      </w:tblPr>
      <w:tblGrid>
        <w:gridCol w:w="566"/>
        <w:gridCol w:w="861"/>
        <w:gridCol w:w="7664"/>
      </w:tblGrid>
      <w:tr w:rsidR="0055181C" w14:paraId="7A45E449" w14:textId="77777777" w:rsidTr="00DA0B7B">
        <w:trPr>
          <w:jc w:val="center"/>
        </w:trPr>
        <w:tc>
          <w:tcPr>
            <w:tcW w:w="566" w:type="dxa"/>
          </w:tcPr>
          <w:p w14:paraId="01E10EDE" w14:textId="77777777" w:rsidR="0055181C" w:rsidRPr="00114081" w:rsidRDefault="00A87A90" w:rsidP="008901A0">
            <w:pPr>
              <w:rPr>
                <w:b/>
                <w:bCs/>
              </w:rPr>
            </w:pPr>
            <w:r w:rsidRPr="00A87A90">
              <w:rPr>
                <w:b/>
                <w:bCs/>
              </w:rPr>
              <w:t>2.</w:t>
            </w:r>
          </w:p>
        </w:tc>
        <w:tc>
          <w:tcPr>
            <w:tcW w:w="861" w:type="dxa"/>
          </w:tcPr>
          <w:p w14:paraId="32041578" w14:textId="77777777" w:rsidR="0055181C" w:rsidRPr="00114081" w:rsidRDefault="0055181C" w:rsidP="008901A0">
            <w:pPr>
              <w:rPr>
                <w:b/>
                <w:bCs/>
              </w:rPr>
            </w:pPr>
          </w:p>
        </w:tc>
        <w:tc>
          <w:tcPr>
            <w:tcW w:w="7664" w:type="dxa"/>
          </w:tcPr>
          <w:p w14:paraId="61B866A0" w14:textId="27B85DF9" w:rsidR="0055181C" w:rsidRPr="00114081" w:rsidRDefault="00A87A90" w:rsidP="008901A0">
            <w:pPr>
              <w:rPr>
                <w:b/>
                <w:bCs/>
              </w:rPr>
            </w:pPr>
            <w:r w:rsidRPr="00A87A90">
              <w:rPr>
                <w:rFonts w:eastAsia="Arial" w:cs="Arial"/>
                <w:b/>
                <w:bCs/>
                <w:color w:val="000000"/>
              </w:rPr>
              <w:t>Présentation du rapport spécial de la Cour portant sur le soutien financier accordé par l</w:t>
            </w:r>
            <w:r w:rsidR="00931A59">
              <w:rPr>
                <w:rFonts w:eastAsia="Arial" w:cs="Arial"/>
                <w:b/>
                <w:bCs/>
                <w:color w:val="000000"/>
              </w:rPr>
              <w:t>’</w:t>
            </w:r>
            <w:r w:rsidRPr="00A87A90">
              <w:rPr>
                <w:rFonts w:eastAsia="Arial" w:cs="Arial"/>
                <w:b/>
                <w:bCs/>
                <w:color w:val="000000"/>
              </w:rPr>
              <w:t>Etat dans le cadre de la loi modifiée du 8 septembre 1998 réglant les relations entre l</w:t>
            </w:r>
            <w:r w:rsidR="00931A59">
              <w:rPr>
                <w:rFonts w:eastAsia="Arial" w:cs="Arial"/>
                <w:b/>
                <w:bCs/>
                <w:color w:val="000000"/>
              </w:rPr>
              <w:t>’</w:t>
            </w:r>
            <w:r w:rsidRPr="00A87A90">
              <w:rPr>
                <w:rFonts w:eastAsia="Arial" w:cs="Arial"/>
                <w:b/>
                <w:bCs/>
                <w:color w:val="000000"/>
              </w:rPr>
              <w:t>Etat et les organismes œuvrant dans les domaines social, familial et thérapeutique</w:t>
            </w:r>
          </w:p>
        </w:tc>
      </w:tr>
    </w:tbl>
    <w:p w14:paraId="6653AE64" w14:textId="77777777" w:rsidR="00F051BF" w:rsidRDefault="00F051BF" w:rsidP="008901A0">
      <w:pPr>
        <w:rPr>
          <w:rFonts w:eastAsia="Arial" w:cs="Arial"/>
          <w:color w:val="000000"/>
        </w:rPr>
      </w:pPr>
    </w:p>
    <w:p w14:paraId="263EE3DC" w14:textId="0D84F704" w:rsidR="002115F0" w:rsidRDefault="002115F0" w:rsidP="00815FB3">
      <w:r>
        <w:rPr>
          <w:u w:val="single"/>
        </w:rPr>
        <w:t>Le Président de la Commission, Monsieur Franz Fayot (groupe politique socialiste)</w:t>
      </w:r>
      <w:r w:rsidR="00DC20C7" w:rsidRPr="00DC20C7">
        <w:t>,</w:t>
      </w:r>
      <w:r w:rsidRPr="002115F0">
        <w:t xml:space="preserve"> </w:t>
      </w:r>
      <w:r>
        <w:t>prend la parole pour indique</w:t>
      </w:r>
      <w:r w:rsidR="00430539">
        <w:t>r tout d’abord</w:t>
      </w:r>
      <w:r>
        <w:t xml:space="preserve"> que le </w:t>
      </w:r>
      <w:r w:rsidRPr="002115F0">
        <w:t xml:space="preserve">rapport spécial de la Cour </w:t>
      </w:r>
      <w:r w:rsidR="00481D54">
        <w:t xml:space="preserve">des comptes </w:t>
      </w:r>
      <w:r w:rsidRPr="002115F0">
        <w:t>portant sur le soutien financier accordé par l</w:t>
      </w:r>
      <w:r w:rsidR="00931A59">
        <w:t>’</w:t>
      </w:r>
      <w:r w:rsidRPr="002115F0">
        <w:t>Etat dans le cadre de la loi modifiée du 8 septembre 1998 réglant les relations entre l</w:t>
      </w:r>
      <w:r w:rsidR="00931A59">
        <w:t>’</w:t>
      </w:r>
      <w:r w:rsidRPr="002115F0">
        <w:t>Etat et les organismes œuvrant dans les domaines social, familial et thérapeutique</w:t>
      </w:r>
      <w:r>
        <w:t xml:space="preserve"> (ci-après « Rapport spécial ») s</w:t>
      </w:r>
      <w:r w:rsidR="00931A59">
        <w:t>’</w:t>
      </w:r>
      <w:r>
        <w:t xml:space="preserve">inscrit dans une démarche engagée par la Commission </w:t>
      </w:r>
      <w:r w:rsidRPr="0027226D">
        <w:t>dès 2015,</w:t>
      </w:r>
      <w:r>
        <w:t xml:space="preserve"> initialement centrée sur la question des rémunérations des directeurs d</w:t>
      </w:r>
      <w:r w:rsidR="00931A59">
        <w:t>’</w:t>
      </w:r>
      <w:r>
        <w:t>établissements publics</w:t>
      </w:r>
      <w:r w:rsidR="0027226D">
        <w:rPr>
          <w:rStyle w:val="Appelnotedebasdep"/>
        </w:rPr>
        <w:footnoteReference w:id="2"/>
      </w:r>
      <w:r>
        <w:t>. La Commission avait adressé une demande formelle à la Cour des comptes (ci-après « Cour </w:t>
      </w:r>
      <w:r w:rsidRPr="00907336">
        <w:t>») en 2020</w:t>
      </w:r>
      <w:r w:rsidR="0027226D" w:rsidRPr="00907336">
        <w:rPr>
          <w:rStyle w:val="Appelnotedebasdep"/>
        </w:rPr>
        <w:footnoteReference w:id="3"/>
      </w:r>
      <w:r w:rsidRPr="00907336">
        <w:t>, q</w:t>
      </w:r>
      <w:r>
        <w:t>ui a saisi l</w:t>
      </w:r>
      <w:r w:rsidR="00931A59">
        <w:t>’</w:t>
      </w:r>
      <w:r>
        <w:t>occasion pour passer au crible l</w:t>
      </w:r>
      <w:r w:rsidR="00931A59">
        <w:t>’</w:t>
      </w:r>
      <w:r w:rsidRPr="005D51DF">
        <w:t>ensemble des engagements financiers étatiques dans les domaines du social, familial et thérapeutique</w:t>
      </w:r>
      <w:r w:rsidR="00DA4772" w:rsidRPr="005D51DF">
        <w:t xml:space="preserve"> (ci-après « </w:t>
      </w:r>
      <w:r w:rsidR="00481D54" w:rsidRPr="005D51DF">
        <w:t>secteur</w:t>
      </w:r>
      <w:r w:rsidR="00DA4772" w:rsidRPr="005D51DF">
        <w:t xml:space="preserve"> ASFT »)</w:t>
      </w:r>
      <w:r w:rsidRPr="005D51DF">
        <w:t>. Le Rapport spécial a été adopté par le Collège de la Cour fin février 2026.</w:t>
      </w:r>
    </w:p>
    <w:p w14:paraId="55B8379A" w14:textId="77777777" w:rsidR="002115F0" w:rsidRDefault="002115F0" w:rsidP="00815FB3"/>
    <w:p w14:paraId="1739F021" w14:textId="380E3DAD" w:rsidR="002115F0" w:rsidRDefault="002115F0" w:rsidP="00815FB3">
      <w:r>
        <w:rPr>
          <w:b/>
          <w:bCs/>
          <w:sz w:val="24"/>
          <w:szCs w:val="24"/>
          <w:u w:val="single"/>
        </w:rPr>
        <w:t>I. Présentation du rapport par la Cour des comptes</w:t>
      </w:r>
      <w:r w:rsidR="000D5E81">
        <w:rPr>
          <w:rStyle w:val="Appelnotedebasdep"/>
          <w:b/>
          <w:bCs/>
          <w:sz w:val="24"/>
          <w:szCs w:val="24"/>
          <w:u w:val="single"/>
        </w:rPr>
        <w:footnoteReference w:id="4"/>
      </w:r>
    </w:p>
    <w:p w14:paraId="61BF9F0D" w14:textId="77777777" w:rsidR="008901A0" w:rsidRDefault="008901A0" w:rsidP="008901A0">
      <w:pPr>
        <w:rPr>
          <w:b/>
          <w:bCs/>
        </w:rPr>
      </w:pPr>
    </w:p>
    <w:p w14:paraId="24BDEC05" w14:textId="15C92C92" w:rsidR="002115F0" w:rsidRDefault="002115F0" w:rsidP="00815FB3">
      <w:r>
        <w:rPr>
          <w:b/>
          <w:bCs/>
        </w:rPr>
        <w:t>1. Observations liminaires</w:t>
      </w:r>
    </w:p>
    <w:p w14:paraId="014E86FB" w14:textId="77777777" w:rsidR="008901A0" w:rsidRDefault="008901A0" w:rsidP="008901A0">
      <w:pPr>
        <w:rPr>
          <w:u w:val="single"/>
        </w:rPr>
      </w:pPr>
    </w:p>
    <w:p w14:paraId="150D8366" w14:textId="06298135" w:rsidR="002115F0" w:rsidRDefault="002115F0" w:rsidP="00815FB3">
      <w:r>
        <w:rPr>
          <w:u w:val="single"/>
        </w:rPr>
        <w:t>Le</w:t>
      </w:r>
      <w:r w:rsidR="00DA4772">
        <w:rPr>
          <w:u w:val="single"/>
        </w:rPr>
        <w:t xml:space="preserve"> Vice-président de la C</w:t>
      </w:r>
      <w:r w:rsidR="00DA4772" w:rsidRPr="00430539">
        <w:rPr>
          <w:u w:val="single"/>
        </w:rPr>
        <w:t>our des comptes (ci-après « Vice-président</w:t>
      </w:r>
      <w:r w:rsidR="00DC20C7">
        <w:rPr>
          <w:u w:val="single"/>
        </w:rPr>
        <w:t> »</w:t>
      </w:r>
      <w:r w:rsidR="00DA4772" w:rsidRPr="00430539">
        <w:rPr>
          <w:u w:val="single"/>
        </w:rPr>
        <w:t>)</w:t>
      </w:r>
      <w:r w:rsidR="00DA4772" w:rsidRPr="00430539">
        <w:t xml:space="preserve"> tient d</w:t>
      </w:r>
      <w:r w:rsidR="00931A59" w:rsidRPr="00430539">
        <w:t>’</w:t>
      </w:r>
      <w:r w:rsidR="00DA4772" w:rsidRPr="00430539">
        <w:t>emblée à souligner</w:t>
      </w:r>
      <w:r w:rsidRPr="00430539">
        <w:t xml:space="preserve"> le caractère constructif du processus contradictoire mené avec les quatre ministères concernés</w:t>
      </w:r>
      <w:r w:rsidR="000D5E81" w:rsidRPr="00430539">
        <w:t>. Il relève dans ce contexte</w:t>
      </w:r>
      <w:r w:rsidRPr="00430539">
        <w:t xml:space="preserve"> que des effets</w:t>
      </w:r>
      <w:r>
        <w:t xml:space="preserve"> positifs du contrôle se sont déjà manifestés en cours de mission</w:t>
      </w:r>
      <w:r w:rsidR="000D5E81">
        <w:t xml:space="preserve">, </w:t>
      </w:r>
      <w:r>
        <w:t xml:space="preserve">plusieurs divisions </w:t>
      </w:r>
      <w:r w:rsidR="00430539">
        <w:t xml:space="preserve">ayant </w:t>
      </w:r>
      <w:r w:rsidR="000D5E81">
        <w:t>d</w:t>
      </w:r>
      <w:r w:rsidR="00931A59">
        <w:t>’</w:t>
      </w:r>
      <w:r w:rsidR="000D5E81">
        <w:t>ores et déjà</w:t>
      </w:r>
      <w:r>
        <w:t xml:space="preserve"> adapté ou formalisé leurs procédures internes à la suite d</w:t>
      </w:r>
      <w:r w:rsidR="000D5E81">
        <w:t>u contrôle</w:t>
      </w:r>
      <w:r>
        <w:t xml:space="preserve">. </w:t>
      </w:r>
    </w:p>
    <w:p w14:paraId="4274C200" w14:textId="77777777" w:rsidR="00430539" w:rsidRDefault="00430539" w:rsidP="00815FB3"/>
    <w:p w14:paraId="4276ABF5" w14:textId="77777777" w:rsidR="002115F0" w:rsidRDefault="002115F0" w:rsidP="00815FB3">
      <w:r>
        <w:rPr>
          <w:b/>
          <w:bCs/>
        </w:rPr>
        <w:t>2. Champ et objectifs du contrôle</w:t>
      </w:r>
    </w:p>
    <w:p w14:paraId="68ADD82A" w14:textId="77777777" w:rsidR="008901A0" w:rsidRDefault="008901A0" w:rsidP="008901A0"/>
    <w:p w14:paraId="75E1D905" w14:textId="2BC44981" w:rsidR="002A3168" w:rsidRDefault="002A3168" w:rsidP="00815FB3">
      <w:r>
        <w:t>Le</w:t>
      </w:r>
      <w:r w:rsidR="002115F0">
        <w:t xml:space="preserve"> contrôle </w:t>
      </w:r>
      <w:r>
        <w:t>de la Cour s</w:t>
      </w:r>
      <w:r w:rsidR="00931A59">
        <w:t>’</w:t>
      </w:r>
      <w:r>
        <w:t xml:space="preserve">est concentré </w:t>
      </w:r>
      <w:r w:rsidRPr="002A3168">
        <w:t xml:space="preserve">sur le respect de </w:t>
      </w:r>
      <w:r w:rsidR="002115F0" w:rsidRPr="002A3168">
        <w:t>la loi modifiée du 8 septembre 1998</w:t>
      </w:r>
      <w:r w:rsidRPr="002A3168">
        <w:t xml:space="preserve"> réglant les relations entre l</w:t>
      </w:r>
      <w:r w:rsidR="00931A59">
        <w:t>’</w:t>
      </w:r>
      <w:r w:rsidRPr="002A3168">
        <w:t>Etat et les organismes œuvrant dans les domaines social, familial et thérapeutique (ci-après</w:t>
      </w:r>
      <w:r w:rsidR="002115F0" w:rsidRPr="002A3168">
        <w:t xml:space="preserve"> «</w:t>
      </w:r>
      <w:r w:rsidR="00EC4833">
        <w:t> </w:t>
      </w:r>
      <w:r>
        <w:t>L</w:t>
      </w:r>
      <w:r w:rsidR="002115F0" w:rsidRPr="002A3168">
        <w:t>oi ASFT</w:t>
      </w:r>
      <w:r w:rsidR="00EC4833">
        <w:t> </w:t>
      </w:r>
      <w:r w:rsidR="002115F0" w:rsidRPr="002A3168">
        <w:t>»</w:t>
      </w:r>
      <w:r w:rsidRPr="002A3168">
        <w:t>)</w:t>
      </w:r>
      <w:r w:rsidR="00B701A9">
        <w:t>.</w:t>
      </w:r>
      <w:r w:rsidR="002115F0">
        <w:t xml:space="preserve"> </w:t>
      </w:r>
    </w:p>
    <w:p w14:paraId="7CF773CB" w14:textId="77777777" w:rsidR="008901A0" w:rsidRDefault="008901A0" w:rsidP="008901A0"/>
    <w:p w14:paraId="5DAFAFEB" w14:textId="25B3C774" w:rsidR="002115F0" w:rsidRDefault="00B701A9" w:rsidP="00815FB3">
      <w:r>
        <w:t>Conformément à</w:t>
      </w:r>
      <w:r w:rsidR="00481D54">
        <w:t xml:space="preserve"> l</w:t>
      </w:r>
      <w:r w:rsidR="00931A59">
        <w:t>’</w:t>
      </w:r>
      <w:r w:rsidR="002115F0">
        <w:t xml:space="preserve">article 12 </w:t>
      </w:r>
      <w:r w:rsidR="00481D54">
        <w:t>de la Loi ASFT</w:t>
      </w:r>
      <w:r>
        <w:t>, l</w:t>
      </w:r>
      <w:r w:rsidR="00481D54">
        <w:t>e contrôle de la Cour s</w:t>
      </w:r>
      <w:r w:rsidR="00931A59">
        <w:t>’</w:t>
      </w:r>
      <w:r w:rsidR="00481D54">
        <w:t>est ainsi uniquement concentré sur l</w:t>
      </w:r>
      <w:r w:rsidR="00931A59">
        <w:t>’</w:t>
      </w:r>
      <w:r w:rsidR="00481D54">
        <w:t>emploi de la participation financière étatique par rapport aux frais de fonctionnement et aux frais de personnel</w:t>
      </w:r>
      <w:r w:rsidR="00430539">
        <w:t xml:space="preserve">, </w:t>
      </w:r>
      <w:r w:rsidR="00EC4E2C">
        <w:t>l</w:t>
      </w:r>
      <w:r w:rsidR="002115F0">
        <w:t>es frais d</w:t>
      </w:r>
      <w:r w:rsidR="00931A59">
        <w:t>’</w:t>
      </w:r>
      <w:r w:rsidR="002115F0">
        <w:t xml:space="preserve">investissement </w:t>
      </w:r>
      <w:r w:rsidR="00430539">
        <w:t xml:space="preserve">ayant </w:t>
      </w:r>
      <w:r w:rsidR="002115F0">
        <w:t>été expressément exclus</w:t>
      </w:r>
      <w:r w:rsidR="00481D54">
        <w:t>.</w:t>
      </w:r>
    </w:p>
    <w:p w14:paraId="5E6AA153" w14:textId="77777777" w:rsidR="008901A0" w:rsidRDefault="008901A0" w:rsidP="008901A0"/>
    <w:p w14:paraId="528A0EBC" w14:textId="0C16B6AC" w:rsidR="00EC4E2C" w:rsidRDefault="002115F0" w:rsidP="00815FB3">
      <w:r>
        <w:t>Les objectifs du contrôle</w:t>
      </w:r>
      <w:r w:rsidR="00F43188">
        <w:t xml:space="preserve"> de la Cour</w:t>
      </w:r>
      <w:r>
        <w:t xml:space="preserve"> portaient sur deux axes : </w:t>
      </w:r>
    </w:p>
    <w:p w14:paraId="6750F58D" w14:textId="77777777" w:rsidR="001065FF" w:rsidRDefault="001065FF" w:rsidP="00815FB3">
      <w:pPr>
        <w:pStyle w:val="Paragraphedeliste"/>
        <w:ind w:left="708"/>
      </w:pPr>
    </w:p>
    <w:p w14:paraId="64D6BD8D" w14:textId="3D7908BC" w:rsidR="00EC4E2C" w:rsidRDefault="002115F0" w:rsidP="00815FB3">
      <w:pPr>
        <w:pStyle w:val="Paragraphedeliste"/>
        <w:numPr>
          <w:ilvl w:val="0"/>
          <w:numId w:val="14"/>
        </w:numPr>
        <w:ind w:left="708"/>
      </w:pPr>
      <w:r>
        <w:t>d</w:t>
      </w:r>
      <w:r w:rsidR="00931A59">
        <w:t>’</w:t>
      </w:r>
      <w:r>
        <w:t>une part, l</w:t>
      </w:r>
      <w:r w:rsidR="00931A59">
        <w:t>’</w:t>
      </w:r>
      <w:r>
        <w:t xml:space="preserve">analyse des dispositifs de contrôle mis en œuvre dans le cadre de la </w:t>
      </w:r>
      <w:r w:rsidR="00F43188">
        <w:t>L</w:t>
      </w:r>
      <w:r>
        <w:t xml:space="preserve">oi ASFT ainsi que la coordination interministérielle qui en découle ; </w:t>
      </w:r>
    </w:p>
    <w:p w14:paraId="37FCA303" w14:textId="3289A048" w:rsidR="002115F0" w:rsidRDefault="002115F0" w:rsidP="00815FB3">
      <w:pPr>
        <w:pStyle w:val="Paragraphedeliste"/>
        <w:numPr>
          <w:ilvl w:val="0"/>
          <w:numId w:val="14"/>
        </w:numPr>
        <w:ind w:left="708"/>
      </w:pPr>
      <w:r>
        <w:t>d</w:t>
      </w:r>
      <w:r w:rsidR="00931A59">
        <w:t>’</w:t>
      </w:r>
      <w:r>
        <w:t>autre part, le respect des critères légaux, réglementaires et conventionnels sur base des agréments délivrés et des conventions de financement conclues entre les organismes gestionnaires et l</w:t>
      </w:r>
      <w:r w:rsidR="00931A59">
        <w:t>’</w:t>
      </w:r>
      <w:r>
        <w:t>État.</w:t>
      </w:r>
    </w:p>
    <w:p w14:paraId="7E50BB05" w14:textId="45C39679" w:rsidR="002115F0" w:rsidRDefault="002115F0" w:rsidP="00207F6C">
      <w:r>
        <w:rPr>
          <w:b/>
          <w:bCs/>
        </w:rPr>
        <w:lastRenderedPageBreak/>
        <w:t xml:space="preserve">3. Ministères concernés </w:t>
      </w:r>
      <w:r w:rsidR="002F6005">
        <w:rPr>
          <w:b/>
          <w:bCs/>
        </w:rPr>
        <w:t>par la Loi ASFT</w:t>
      </w:r>
    </w:p>
    <w:p w14:paraId="1A7D8D65" w14:textId="77777777" w:rsidR="00DE149B" w:rsidRDefault="00DE149B" w:rsidP="008901A0"/>
    <w:p w14:paraId="7A239D7B" w14:textId="205A241F" w:rsidR="002115F0" w:rsidRDefault="002F6005" w:rsidP="008901A0">
      <w:r>
        <w:t>Q</w:t>
      </w:r>
      <w:r w:rsidR="002115F0">
        <w:t>uatre ministères</w:t>
      </w:r>
      <w:r w:rsidR="009D118C">
        <w:t xml:space="preserve"> </w:t>
      </w:r>
      <w:r>
        <w:t>en particulier sont concernés par la Loi ASFT</w:t>
      </w:r>
      <w:r w:rsidR="009D118C">
        <w:t> </w:t>
      </w:r>
      <w:r w:rsidR="002115F0">
        <w:t>:</w:t>
      </w:r>
    </w:p>
    <w:p w14:paraId="25E9B710" w14:textId="77777777" w:rsidR="008901A0" w:rsidRDefault="008901A0" w:rsidP="00207F6C"/>
    <w:p w14:paraId="5644F138" w14:textId="77777777" w:rsidR="00207F6C" w:rsidRDefault="002115F0" w:rsidP="00207F6C">
      <w:pPr>
        <w:pStyle w:val="Paragraphedeliste"/>
        <w:numPr>
          <w:ilvl w:val="0"/>
          <w:numId w:val="16"/>
        </w:numPr>
      </w:pPr>
      <w:r>
        <w:t>le ministère de l</w:t>
      </w:r>
      <w:r w:rsidR="00931A59">
        <w:t>’</w:t>
      </w:r>
      <w:r>
        <w:t>Éducation nationale, de l</w:t>
      </w:r>
      <w:r w:rsidR="00931A59">
        <w:t>’</w:t>
      </w:r>
      <w:r>
        <w:t>Enfance et de la Jeunesse (ci-après « MENJE »), avec quatre directions générales ;</w:t>
      </w:r>
    </w:p>
    <w:p w14:paraId="7F32CDFE" w14:textId="77777777" w:rsidR="00207F6C" w:rsidRDefault="002115F0" w:rsidP="00207F6C">
      <w:pPr>
        <w:pStyle w:val="Paragraphedeliste"/>
        <w:numPr>
          <w:ilvl w:val="0"/>
          <w:numId w:val="16"/>
        </w:numPr>
      </w:pPr>
      <w:r>
        <w:t>le ministère de la Famille (ci-après « MIFA »), avec quatre divisions ;</w:t>
      </w:r>
    </w:p>
    <w:p w14:paraId="53FF7832" w14:textId="77777777" w:rsidR="00207F6C" w:rsidRDefault="002115F0" w:rsidP="00207F6C">
      <w:pPr>
        <w:pStyle w:val="Paragraphedeliste"/>
        <w:numPr>
          <w:ilvl w:val="0"/>
          <w:numId w:val="16"/>
        </w:numPr>
      </w:pPr>
      <w:r>
        <w:t>le ministère de la Santé (ci-après « MISA ») ;</w:t>
      </w:r>
    </w:p>
    <w:p w14:paraId="708F1287" w14:textId="06C1CDC3" w:rsidR="002115F0" w:rsidRDefault="002115F0" w:rsidP="00207F6C">
      <w:pPr>
        <w:pStyle w:val="Paragraphedeliste"/>
        <w:numPr>
          <w:ilvl w:val="0"/>
          <w:numId w:val="16"/>
        </w:numPr>
      </w:pPr>
      <w:r>
        <w:t>le ministère de l</w:t>
      </w:r>
      <w:r w:rsidR="00931A59">
        <w:t>’</w:t>
      </w:r>
      <w:r>
        <w:t>Égalité entre les femmes et les hommes (ci-après « MEGA »).</w:t>
      </w:r>
    </w:p>
    <w:p w14:paraId="2156E8E7" w14:textId="77777777" w:rsidR="00D12C83" w:rsidRDefault="00D12C83" w:rsidP="00D12C83">
      <w:pPr>
        <w:ind w:left="284" w:hanging="284"/>
      </w:pPr>
    </w:p>
    <w:p w14:paraId="3BC6A81A" w14:textId="4EC61D17" w:rsidR="002115F0" w:rsidRDefault="002F6005" w:rsidP="00207F6C">
      <w:r>
        <w:t>Le Vice-président précise que pour l</w:t>
      </w:r>
      <w:r w:rsidR="00931A59">
        <w:t>’</w:t>
      </w:r>
      <w:r>
        <w:t>exécution de la Loi ASFT, c</w:t>
      </w:r>
      <w:r w:rsidR="002115F0">
        <w:t>haque ministère, et au sein de celui-ci chaque direction ou division, dispose de son propre règlement grand-ducal d</w:t>
      </w:r>
      <w:r w:rsidR="00931A59">
        <w:t>’</w:t>
      </w:r>
      <w:r w:rsidR="002115F0">
        <w:t>exécution et de ses propres procédures</w:t>
      </w:r>
      <w:r w:rsidR="0012040E">
        <w:t>,</w:t>
      </w:r>
      <w:r w:rsidR="002115F0">
        <w:t xml:space="preserve"> ce qui engendre une fragmentation importante et multiplie le</w:t>
      </w:r>
      <w:r w:rsidR="00B701A9">
        <w:t>s pratiques.</w:t>
      </w:r>
    </w:p>
    <w:p w14:paraId="4F2BB168" w14:textId="77777777" w:rsidR="002115F0" w:rsidRDefault="002115F0" w:rsidP="00207F6C"/>
    <w:p w14:paraId="5A41B2F4" w14:textId="77777777" w:rsidR="002115F0" w:rsidRDefault="002115F0" w:rsidP="00207F6C">
      <w:r>
        <w:rPr>
          <w:b/>
          <w:bCs/>
        </w:rPr>
        <w:t>4. Cadre légal et réglementaire</w:t>
      </w:r>
    </w:p>
    <w:p w14:paraId="621E9A6B" w14:textId="77777777" w:rsidR="008901A0" w:rsidRDefault="008901A0" w:rsidP="008901A0">
      <w:pPr>
        <w:rPr>
          <w:b/>
          <w:bCs/>
          <w:i/>
          <w:iCs/>
        </w:rPr>
      </w:pPr>
    </w:p>
    <w:p w14:paraId="5C9ECF20" w14:textId="7EE63F7D" w:rsidR="00053FE3" w:rsidRPr="00B701A9" w:rsidRDefault="00B701A9" w:rsidP="00207F6C">
      <w:pPr>
        <w:rPr>
          <w:b/>
          <w:bCs/>
          <w:i/>
          <w:iCs/>
        </w:rPr>
      </w:pPr>
      <w:r w:rsidRPr="00B701A9">
        <w:rPr>
          <w:b/>
          <w:bCs/>
          <w:i/>
          <w:iCs/>
        </w:rPr>
        <w:t xml:space="preserve">a) </w:t>
      </w:r>
      <w:r w:rsidR="00053FE3" w:rsidRPr="00B701A9">
        <w:rPr>
          <w:b/>
          <w:bCs/>
          <w:i/>
          <w:iCs/>
        </w:rPr>
        <w:t>Agrément</w:t>
      </w:r>
    </w:p>
    <w:p w14:paraId="2F31A274" w14:textId="77777777" w:rsidR="008901A0" w:rsidRDefault="008901A0" w:rsidP="008901A0"/>
    <w:p w14:paraId="05806B2F" w14:textId="29C96B99" w:rsidR="00053FE3" w:rsidRDefault="002115F0" w:rsidP="00207F6C">
      <w:r>
        <w:t>En vertu de l</w:t>
      </w:r>
      <w:r w:rsidR="00931A59">
        <w:t>’</w:t>
      </w:r>
      <w:r>
        <w:t>article 1</w:t>
      </w:r>
      <w:r w:rsidRPr="00053FE3">
        <w:rPr>
          <w:vertAlign w:val="superscript"/>
        </w:rPr>
        <w:t>er</w:t>
      </w:r>
      <w:r>
        <w:t xml:space="preserve"> de la </w:t>
      </w:r>
      <w:r w:rsidR="00053FE3">
        <w:t>L</w:t>
      </w:r>
      <w:r>
        <w:t xml:space="preserve">oi ASFT </w:t>
      </w:r>
      <w:r w:rsidR="00053FE3" w:rsidRPr="00053FE3">
        <w:t>«</w:t>
      </w:r>
      <w:r w:rsidR="00053FE3">
        <w:t> [n]</w:t>
      </w:r>
      <w:proofErr w:type="spellStart"/>
      <w:r w:rsidR="00053FE3" w:rsidRPr="00053FE3">
        <w:t>ul</w:t>
      </w:r>
      <w:proofErr w:type="spellEnd"/>
      <w:r w:rsidR="00053FE3" w:rsidRPr="00053FE3">
        <w:t xml:space="preserve"> ne peut, à titre principal ou accessoire et contre rémunération, entreprendre ou exercer d</w:t>
      </w:r>
      <w:r w:rsidR="00931A59">
        <w:t>’</w:t>
      </w:r>
      <w:r w:rsidR="00053FE3" w:rsidRPr="00053FE3">
        <w:t>une manière non-occasionnelle l</w:t>
      </w:r>
      <w:r w:rsidR="00931A59">
        <w:t>’</w:t>
      </w:r>
      <w:r w:rsidR="00053FE3" w:rsidRPr="00053FE3">
        <w:t>une des activités ci-après énumérées, dans le domaine social, socio-éducatif, médico-social ou thérapeutique s</w:t>
      </w:r>
      <w:r w:rsidR="00931A59">
        <w:t>’</w:t>
      </w:r>
      <w:r w:rsidR="00053FE3" w:rsidRPr="00053FE3">
        <w:t>il n</w:t>
      </w:r>
      <w:r w:rsidR="00931A59">
        <w:t>’</w:t>
      </w:r>
      <w:r w:rsidR="00053FE3" w:rsidRPr="00053FE3">
        <w:t>est en possession d</w:t>
      </w:r>
      <w:r w:rsidR="00931A59">
        <w:t>’</w:t>
      </w:r>
      <w:r w:rsidR="00053FE3" w:rsidRPr="00053FE3">
        <w:t>un agrément écrit, suivant leurs compétences respectives, soit du ministre de la Famille, soit du ministre de la Promotion féminine, soit du ministre de la Jeunesse, soit du ministre de la Santé ».</w:t>
      </w:r>
      <w:r w:rsidR="006E681E">
        <w:t xml:space="preserve"> </w:t>
      </w:r>
      <w:r w:rsidR="00053FE3" w:rsidRPr="00053FE3">
        <w:t>L</w:t>
      </w:r>
      <w:r w:rsidR="00931A59">
        <w:t>’</w:t>
      </w:r>
      <w:r w:rsidR="00053FE3" w:rsidRPr="00053FE3">
        <w:t xml:space="preserve">article 2 de la </w:t>
      </w:r>
      <w:r w:rsidR="00053FE3">
        <w:t>L</w:t>
      </w:r>
      <w:r w:rsidR="00053FE3" w:rsidRPr="00053FE3">
        <w:t>oi ASFT détermine les conditions requises pour l</w:t>
      </w:r>
      <w:r w:rsidR="00931A59">
        <w:t>’</w:t>
      </w:r>
      <w:r w:rsidR="00053FE3" w:rsidRPr="00053FE3">
        <w:t>obtention d</w:t>
      </w:r>
      <w:r w:rsidR="00053FE3">
        <w:t>udit</w:t>
      </w:r>
      <w:r w:rsidR="00053FE3" w:rsidRPr="00053FE3">
        <w:t xml:space="preserve"> agrément</w:t>
      </w:r>
      <w:r w:rsidR="006E681E">
        <w:t>.</w:t>
      </w:r>
    </w:p>
    <w:p w14:paraId="61F422D9" w14:textId="77777777" w:rsidR="00931A59" w:rsidRDefault="00931A59" w:rsidP="00207F6C"/>
    <w:p w14:paraId="6DF73F5E" w14:textId="5B2F407C" w:rsidR="00931A59" w:rsidRPr="00B701A9" w:rsidRDefault="00B701A9" w:rsidP="00207F6C">
      <w:pPr>
        <w:rPr>
          <w:b/>
          <w:bCs/>
          <w:i/>
          <w:iCs/>
        </w:rPr>
      </w:pPr>
      <w:r w:rsidRPr="00B701A9">
        <w:rPr>
          <w:b/>
          <w:bCs/>
          <w:i/>
          <w:iCs/>
        </w:rPr>
        <w:t xml:space="preserve">b) </w:t>
      </w:r>
      <w:r w:rsidR="00931A59" w:rsidRPr="00B701A9">
        <w:rPr>
          <w:b/>
          <w:bCs/>
          <w:i/>
          <w:iCs/>
        </w:rPr>
        <w:t>Soutien financier de l’État</w:t>
      </w:r>
    </w:p>
    <w:p w14:paraId="7B2E5CDF" w14:textId="77777777" w:rsidR="008901A0" w:rsidRDefault="008901A0" w:rsidP="008901A0"/>
    <w:p w14:paraId="56F553C2" w14:textId="77777777" w:rsidR="00CA53EE" w:rsidRDefault="00931A59" w:rsidP="008901A0">
      <w:r w:rsidRPr="00931A59">
        <w:t>L</w:t>
      </w:r>
      <w:r>
        <w:t>’</w:t>
      </w:r>
      <w:r w:rsidRPr="00931A59">
        <w:t xml:space="preserve">article 11 de la </w:t>
      </w:r>
      <w:r>
        <w:t>L</w:t>
      </w:r>
      <w:r w:rsidRPr="00931A59">
        <w:t>oi ASFT fixe les conditions d</w:t>
      </w:r>
      <w:r>
        <w:t>’</w:t>
      </w:r>
      <w:r w:rsidRPr="00931A59">
        <w:t>octroi d</w:t>
      </w:r>
      <w:r>
        <w:t>’</w:t>
      </w:r>
      <w:r w:rsidRPr="00931A59">
        <w:t>une participation financière de l</w:t>
      </w:r>
      <w:r>
        <w:t>’</w:t>
      </w:r>
      <w:r w:rsidRPr="00931A59">
        <w:t>Etat</w:t>
      </w:r>
      <w:r>
        <w:t> </w:t>
      </w:r>
      <w:r w:rsidRPr="00931A59">
        <w:t>:</w:t>
      </w:r>
      <w:r>
        <w:t xml:space="preserve"> </w:t>
      </w:r>
    </w:p>
    <w:p w14:paraId="2FEF1711" w14:textId="77777777" w:rsidR="00CA53EE" w:rsidRDefault="00CA53EE" w:rsidP="008901A0"/>
    <w:p w14:paraId="573159BC" w14:textId="74EC7FC8" w:rsidR="00931A59" w:rsidRDefault="00931A59" w:rsidP="008901A0">
      <w:r w:rsidRPr="00931A59">
        <w:t>«</w:t>
      </w:r>
      <w:r>
        <w:t> </w:t>
      </w:r>
      <w:r w:rsidRPr="00931A59">
        <w:t>(…) Le soutien financier peut prendre forme d</w:t>
      </w:r>
      <w:r>
        <w:t>’</w:t>
      </w:r>
      <w:r w:rsidRPr="00931A59">
        <w:t>un subside ou d</w:t>
      </w:r>
      <w:r>
        <w:t>’</w:t>
      </w:r>
      <w:r w:rsidRPr="00931A59">
        <w:t>une participation financière qui est accordé à condition</w:t>
      </w:r>
      <w:r>
        <w:t> </w:t>
      </w:r>
      <w:r w:rsidRPr="00931A59">
        <w:t>:</w:t>
      </w:r>
    </w:p>
    <w:p w14:paraId="1B4C66D4" w14:textId="0428C76A" w:rsidR="00931A59" w:rsidRPr="00931A59" w:rsidRDefault="00931A59" w:rsidP="00207F6C">
      <w:r>
        <w:t xml:space="preserve">a) </w:t>
      </w:r>
      <w:r w:rsidRPr="00931A59">
        <w:t>que le bénéficiaire accepte de signer avec l</w:t>
      </w:r>
      <w:r>
        <w:t>’</w:t>
      </w:r>
      <w:r w:rsidRPr="00931A59">
        <w:t>Etat une convention (…)</w:t>
      </w:r>
      <w:r w:rsidR="00004555">
        <w:t> </w:t>
      </w:r>
      <w:r w:rsidRPr="00931A59">
        <w:t>;</w:t>
      </w:r>
    </w:p>
    <w:p w14:paraId="5D118B36" w14:textId="2B76EC13" w:rsidR="00931A59" w:rsidRPr="00931A59" w:rsidRDefault="00931A59" w:rsidP="00207F6C">
      <w:r>
        <w:t xml:space="preserve">b) </w:t>
      </w:r>
      <w:r w:rsidRPr="00931A59">
        <w:t>que le bénéficiaire tienne une comptabilité régulière selon les exigences de l</w:t>
      </w:r>
      <w:r>
        <w:t>’</w:t>
      </w:r>
      <w:r w:rsidRPr="00931A59">
        <w:t>Etat</w:t>
      </w:r>
      <w:r w:rsidR="00004555">
        <w:t> </w:t>
      </w:r>
      <w:r w:rsidRPr="00931A59">
        <w:t>;</w:t>
      </w:r>
    </w:p>
    <w:p w14:paraId="0516794D" w14:textId="58422656" w:rsidR="00931A59" w:rsidRDefault="00931A59" w:rsidP="008901A0">
      <w:r>
        <w:t xml:space="preserve">c) </w:t>
      </w:r>
      <w:r w:rsidRPr="00931A59">
        <w:t>que les activités projetées répondent à des besoins effectifs constatés par le Gouvernement en conseil. (…) ».</w:t>
      </w:r>
    </w:p>
    <w:p w14:paraId="313D73B0" w14:textId="77777777" w:rsidR="008901A0" w:rsidRPr="00931A59" w:rsidRDefault="008901A0" w:rsidP="00207F6C"/>
    <w:p w14:paraId="2914CDD0" w14:textId="23258620" w:rsidR="00931A59" w:rsidRDefault="00931A59" w:rsidP="008901A0">
      <w:r w:rsidRPr="00931A59">
        <w:t>L</w:t>
      </w:r>
      <w:r>
        <w:t>’</w:t>
      </w:r>
      <w:r w:rsidRPr="00931A59">
        <w:t xml:space="preserve">article 12 de la </w:t>
      </w:r>
      <w:r w:rsidR="007C1E58">
        <w:t>L</w:t>
      </w:r>
      <w:r w:rsidRPr="00931A59">
        <w:t>oi ASFT recense les recettes et dépenses prises en considération pour la détermination du soutien financier de l</w:t>
      </w:r>
      <w:r>
        <w:t>’</w:t>
      </w:r>
      <w:r w:rsidRPr="00931A59">
        <w:t>Etat</w:t>
      </w:r>
      <w:r w:rsidR="007C1E58">
        <w:t> </w:t>
      </w:r>
      <w:r w:rsidRPr="00931A59">
        <w:t>: « (…) les recettes fixées par la convention (…) sont déduites du total des dépenses. Ne sont pas pris en considération comme recettes, les dons et legs versés à l</w:t>
      </w:r>
      <w:r>
        <w:t>’</w:t>
      </w:r>
      <w:r w:rsidRPr="00931A59">
        <w:t>organisme.</w:t>
      </w:r>
    </w:p>
    <w:p w14:paraId="7C91AB08" w14:textId="77777777" w:rsidR="00207F6C" w:rsidRDefault="00207F6C" w:rsidP="008901A0"/>
    <w:p w14:paraId="1E2876C3" w14:textId="386D2428" w:rsidR="00931A59" w:rsidRDefault="00931A59" w:rsidP="008901A0">
      <w:r w:rsidRPr="00931A59">
        <w:t>Peuvent être considérées les dépenses suivantes</w:t>
      </w:r>
      <w:r w:rsidR="009D118C">
        <w:t> </w:t>
      </w:r>
      <w:r w:rsidRPr="00931A59">
        <w:t>:</w:t>
      </w:r>
    </w:p>
    <w:p w14:paraId="1160D449" w14:textId="4E10E840" w:rsidR="00931A59" w:rsidRPr="00931A59" w:rsidRDefault="00931A59" w:rsidP="00207F6C">
      <w:r w:rsidRPr="00931A59">
        <w:t>a)</w:t>
      </w:r>
      <w:r w:rsidR="007C1E58">
        <w:t xml:space="preserve"> </w:t>
      </w:r>
      <w:r w:rsidRPr="00931A59">
        <w:t>les frais courants d</w:t>
      </w:r>
      <w:r>
        <w:t>’</w:t>
      </w:r>
      <w:r w:rsidRPr="00931A59">
        <w:t>entretien et de gestion</w:t>
      </w:r>
      <w:r w:rsidR="009D118C">
        <w:t> </w:t>
      </w:r>
      <w:r w:rsidRPr="00931A59">
        <w:t>;</w:t>
      </w:r>
    </w:p>
    <w:p w14:paraId="4ABCA5E6" w14:textId="79AAB14B" w:rsidR="00931A59" w:rsidRPr="00931A59" w:rsidRDefault="00931A59" w:rsidP="00207F6C">
      <w:r w:rsidRPr="00931A59">
        <w:t>b)</w:t>
      </w:r>
      <w:r w:rsidR="007C1E58">
        <w:t xml:space="preserve"> </w:t>
      </w:r>
      <w:r w:rsidRPr="00931A59">
        <w:t>les dépenses de personnel (…)</w:t>
      </w:r>
      <w:r w:rsidR="009D118C">
        <w:t> </w:t>
      </w:r>
      <w:r w:rsidRPr="00931A59">
        <w:t>;</w:t>
      </w:r>
    </w:p>
    <w:p w14:paraId="423536EE" w14:textId="2460867B" w:rsidR="00931A59" w:rsidRPr="00931A59" w:rsidRDefault="00931A59" w:rsidP="00207F6C">
      <w:r w:rsidRPr="00931A59">
        <w:t>c)</w:t>
      </w:r>
      <w:r w:rsidR="007C1E58">
        <w:t xml:space="preserve"> </w:t>
      </w:r>
      <w:proofErr w:type="gramStart"/>
      <w:r w:rsidRPr="00931A59">
        <w:t>les frais résultant</w:t>
      </w:r>
      <w:proofErr w:type="gramEnd"/>
      <w:r w:rsidRPr="00931A59">
        <w:t xml:space="preserve"> de collaborateurs occasionnels ou bénévoles</w:t>
      </w:r>
      <w:r w:rsidR="009D118C">
        <w:t> </w:t>
      </w:r>
      <w:r w:rsidRPr="00931A59">
        <w:t>;</w:t>
      </w:r>
    </w:p>
    <w:p w14:paraId="0E892227" w14:textId="2613D675" w:rsidR="00931A59" w:rsidRPr="00931A59" w:rsidRDefault="007C1E58" w:rsidP="00207F6C">
      <w:r>
        <w:t xml:space="preserve">d) </w:t>
      </w:r>
      <w:r w:rsidR="00931A59" w:rsidRPr="00931A59">
        <w:t>les frais en relation avec le louage, l</w:t>
      </w:r>
      <w:r w:rsidR="00931A59">
        <w:t>’</w:t>
      </w:r>
      <w:r w:rsidR="00931A59" w:rsidRPr="00931A59">
        <w:t>entretien et la réparation des bâtiments et l</w:t>
      </w:r>
      <w:r w:rsidR="00931A59">
        <w:t>’</w:t>
      </w:r>
      <w:r w:rsidR="00931A59" w:rsidRPr="00931A59">
        <w:t>équipement mobilier</w:t>
      </w:r>
      <w:r w:rsidR="009D118C">
        <w:t> </w:t>
      </w:r>
      <w:r w:rsidR="00931A59" w:rsidRPr="00931A59">
        <w:t>;</w:t>
      </w:r>
    </w:p>
    <w:p w14:paraId="3DEFF5E7" w14:textId="3E0B2A08" w:rsidR="00931A59" w:rsidRPr="00931A59" w:rsidRDefault="007C1E58" w:rsidP="00207F6C">
      <w:r>
        <w:t xml:space="preserve">e) </w:t>
      </w:r>
      <w:r w:rsidR="00931A59" w:rsidRPr="00931A59">
        <w:t xml:space="preserve">le cas échéant, </w:t>
      </w:r>
      <w:proofErr w:type="gramStart"/>
      <w:r w:rsidR="00931A59" w:rsidRPr="00931A59">
        <w:t>les frais résultant</w:t>
      </w:r>
      <w:proofErr w:type="gramEnd"/>
      <w:r w:rsidR="00931A59" w:rsidRPr="00931A59">
        <w:t xml:space="preserve"> des prestations spécifiques fournies par l</w:t>
      </w:r>
      <w:r w:rsidR="00931A59">
        <w:t>’</w:t>
      </w:r>
      <w:r w:rsidR="00931A59" w:rsidRPr="00931A59">
        <w:t>organisme concerné.</w:t>
      </w:r>
    </w:p>
    <w:p w14:paraId="6E784DC5" w14:textId="77777777" w:rsidR="008901A0" w:rsidRDefault="008901A0" w:rsidP="008901A0"/>
    <w:p w14:paraId="41334E19" w14:textId="6216FBB4" w:rsidR="0018184B" w:rsidRDefault="00931A59" w:rsidP="00207F6C">
      <w:r w:rsidRPr="00931A59">
        <w:lastRenderedPageBreak/>
        <w:t>L</w:t>
      </w:r>
      <w:r>
        <w:t>’</w:t>
      </w:r>
      <w:r w:rsidRPr="00931A59">
        <w:t>Etat verse sa participation en totalité ou en partie sous forme d</w:t>
      </w:r>
      <w:r>
        <w:t>’</w:t>
      </w:r>
      <w:r w:rsidRPr="00931A59">
        <w:t>avances semestrielles, trimestrielles ou mensuelles. L</w:t>
      </w:r>
      <w:r>
        <w:t>’</w:t>
      </w:r>
      <w:r w:rsidRPr="00931A59">
        <w:t>organisme présente au ministre un décompte annuel. Les sommes indûment touchées sont restituées au Trésor</w:t>
      </w:r>
      <w:r w:rsidR="009D118C">
        <w:t> </w:t>
      </w:r>
      <w:r w:rsidRPr="00931A59">
        <w:t>».</w:t>
      </w:r>
    </w:p>
    <w:p w14:paraId="2C4672A8" w14:textId="77777777" w:rsidR="0018184B" w:rsidRDefault="0018184B" w:rsidP="00207F6C"/>
    <w:p w14:paraId="559095F3" w14:textId="7A642177" w:rsidR="00931A59" w:rsidRDefault="00B701A9" w:rsidP="008901A0">
      <w:pPr>
        <w:rPr>
          <w:b/>
          <w:bCs/>
          <w:i/>
          <w:iCs/>
        </w:rPr>
      </w:pPr>
      <w:r w:rsidRPr="00B701A9">
        <w:rPr>
          <w:b/>
          <w:bCs/>
          <w:i/>
          <w:iCs/>
        </w:rPr>
        <w:t xml:space="preserve">c) </w:t>
      </w:r>
      <w:r w:rsidR="0018184B" w:rsidRPr="00B701A9">
        <w:rPr>
          <w:b/>
          <w:bCs/>
          <w:i/>
          <w:iCs/>
        </w:rPr>
        <w:t>Commission Paritaire</w:t>
      </w:r>
    </w:p>
    <w:p w14:paraId="711C4530" w14:textId="77777777" w:rsidR="008901A0" w:rsidRPr="00B701A9" w:rsidRDefault="008901A0" w:rsidP="00207F6C">
      <w:pPr>
        <w:rPr>
          <w:b/>
          <w:bCs/>
          <w:i/>
          <w:iCs/>
        </w:rPr>
      </w:pPr>
    </w:p>
    <w:p w14:paraId="58BC471C" w14:textId="32BD24FB" w:rsidR="0018184B" w:rsidRDefault="002115F0" w:rsidP="00207F6C">
      <w:r>
        <w:t>L</w:t>
      </w:r>
      <w:r w:rsidR="0018184B">
        <w:t>’</w:t>
      </w:r>
      <w:r>
        <w:t>a</w:t>
      </w:r>
      <w:r w:rsidR="0018184B">
        <w:t>rticle 12 de</w:t>
      </w:r>
      <w:r>
        <w:t xml:space="preserve"> </w:t>
      </w:r>
      <w:r w:rsidR="0018184B">
        <w:t>L</w:t>
      </w:r>
      <w:r>
        <w:t>oi</w:t>
      </w:r>
      <w:r w:rsidR="0018184B">
        <w:t xml:space="preserve"> ASFT</w:t>
      </w:r>
      <w:r>
        <w:t xml:space="preserve"> prévoit </w:t>
      </w:r>
      <w:r w:rsidR="0018184B">
        <w:t>une</w:t>
      </w:r>
      <w:r>
        <w:t xml:space="preserve"> Commission </w:t>
      </w:r>
      <w:r w:rsidR="0018184B">
        <w:t>P</w:t>
      </w:r>
      <w:r>
        <w:t>aritaire,</w:t>
      </w:r>
      <w:r w:rsidR="0018184B">
        <w:t xml:space="preserve"> qui est convoquée</w:t>
      </w:r>
      <w:r>
        <w:t xml:space="preserve"> lors de toute modification légale ou réglementaire affectant les dépenses de personnel</w:t>
      </w:r>
      <w:r w:rsidR="0018184B">
        <w:t>.</w:t>
      </w:r>
    </w:p>
    <w:p w14:paraId="77951FBD" w14:textId="77777777" w:rsidR="009B7DFE" w:rsidRDefault="009B7DFE" w:rsidP="00207F6C"/>
    <w:p w14:paraId="3774DB1F" w14:textId="3229AD57" w:rsidR="009B7DFE" w:rsidRDefault="00B701A9" w:rsidP="008901A0">
      <w:pPr>
        <w:rPr>
          <w:b/>
          <w:bCs/>
          <w:i/>
          <w:iCs/>
        </w:rPr>
      </w:pPr>
      <w:r w:rsidRPr="00B701A9">
        <w:rPr>
          <w:b/>
          <w:bCs/>
          <w:i/>
          <w:iCs/>
        </w:rPr>
        <w:t xml:space="preserve">d) </w:t>
      </w:r>
      <w:r w:rsidR="009B7DFE" w:rsidRPr="00B701A9">
        <w:rPr>
          <w:b/>
          <w:bCs/>
          <w:i/>
          <w:iCs/>
        </w:rPr>
        <w:t xml:space="preserve">Commission d’Harmonisation et Comité de </w:t>
      </w:r>
      <w:r w:rsidR="00E65DE4">
        <w:rPr>
          <w:b/>
          <w:bCs/>
          <w:i/>
          <w:iCs/>
        </w:rPr>
        <w:t>c</w:t>
      </w:r>
      <w:r w:rsidR="009B7DFE" w:rsidRPr="00B701A9">
        <w:rPr>
          <w:b/>
          <w:bCs/>
          <w:i/>
          <w:iCs/>
        </w:rPr>
        <w:t>oncertation</w:t>
      </w:r>
    </w:p>
    <w:p w14:paraId="16AB318B" w14:textId="77777777" w:rsidR="008901A0" w:rsidRPr="00B701A9" w:rsidRDefault="008901A0" w:rsidP="00207F6C">
      <w:pPr>
        <w:rPr>
          <w:b/>
          <w:bCs/>
          <w:i/>
          <w:iCs/>
        </w:rPr>
      </w:pPr>
    </w:p>
    <w:p w14:paraId="67FD8E39" w14:textId="2246B063" w:rsidR="009B7DFE" w:rsidRDefault="009B7DFE" w:rsidP="008901A0">
      <w:r>
        <w:t>L’article 14 de la Loi ASFT précise les missions de la</w:t>
      </w:r>
      <w:r w:rsidR="002115F0">
        <w:t xml:space="preserve"> Commission d</w:t>
      </w:r>
      <w:r w:rsidR="00931A59">
        <w:t>’</w:t>
      </w:r>
      <w:r>
        <w:t>H</w:t>
      </w:r>
      <w:r w:rsidR="002115F0">
        <w:t>armonisation (ci-après</w:t>
      </w:r>
      <w:r w:rsidR="003F014B">
        <w:t xml:space="preserve"> </w:t>
      </w:r>
      <w:r w:rsidR="002115F0">
        <w:t>« CH »), organe central chargé notamment d</w:t>
      </w:r>
      <w:r w:rsidR="00931A59">
        <w:t>’</w:t>
      </w:r>
      <w:r w:rsidR="002115F0">
        <w:t>émettre des avis sur les conventions-types, de surveiller l</w:t>
      </w:r>
      <w:r w:rsidR="00931A59">
        <w:t>’</w:t>
      </w:r>
      <w:r w:rsidR="002115F0">
        <w:t>application des conventions et d</w:t>
      </w:r>
      <w:r w:rsidR="00931A59">
        <w:t>’</w:t>
      </w:r>
      <w:r w:rsidR="002115F0">
        <w:t>émettre des recommandations en vue d</w:t>
      </w:r>
      <w:r w:rsidR="00931A59">
        <w:t>’</w:t>
      </w:r>
      <w:r w:rsidR="002115F0">
        <w:t>une coordination des activités financées.</w:t>
      </w:r>
    </w:p>
    <w:p w14:paraId="698BBB88" w14:textId="77777777" w:rsidR="008901A0" w:rsidRDefault="008901A0" w:rsidP="00207F6C"/>
    <w:p w14:paraId="7FD8ACD1" w14:textId="1D407A04" w:rsidR="002115F0" w:rsidRDefault="009B7DFE" w:rsidP="008901A0">
      <w:r>
        <w:t xml:space="preserve">Conformément à l’article </w:t>
      </w:r>
      <w:r w:rsidR="00550FC1">
        <w:t>1</w:t>
      </w:r>
      <w:r>
        <w:t>5 de la Loi ASFT, l</w:t>
      </w:r>
      <w:r w:rsidR="002115F0">
        <w:t xml:space="preserve">a CH se compose de 20 membres effectifs et </w:t>
      </w:r>
      <w:r>
        <w:t xml:space="preserve">de </w:t>
      </w:r>
      <w:r w:rsidR="002115F0">
        <w:t>20 suppléants</w:t>
      </w:r>
      <w:r>
        <w:t xml:space="preserve">. </w:t>
      </w:r>
      <w:r w:rsidR="00527520">
        <w:t>La CH peut en outre se composer en</w:t>
      </w:r>
      <w:r>
        <w:t xml:space="preserve"> sous-commissions. </w:t>
      </w:r>
      <w:r w:rsidR="00527520">
        <w:t>Dans ce contexte,</w:t>
      </w:r>
      <w:r w:rsidR="00550FC1">
        <w:t xml:space="preserve"> </w:t>
      </w:r>
      <w:r w:rsidR="00527520">
        <w:t>le</w:t>
      </w:r>
      <w:r>
        <w:t xml:space="preserve"> Vice-président tient à préciser que la composition de la CH</w:t>
      </w:r>
      <w:r w:rsidR="002115F0">
        <w:t xml:space="preserve"> rend difficile l</w:t>
      </w:r>
      <w:r w:rsidR="00931A59">
        <w:t>’</w:t>
      </w:r>
      <w:r w:rsidR="002115F0">
        <w:t>obtention d</w:t>
      </w:r>
      <w:r w:rsidR="00931A59">
        <w:t>’</w:t>
      </w:r>
      <w:r w:rsidR="002115F0">
        <w:t>un consensus</w:t>
      </w:r>
      <w:r>
        <w:t>.</w:t>
      </w:r>
    </w:p>
    <w:p w14:paraId="0BCCA970" w14:textId="77777777" w:rsidR="008901A0" w:rsidRDefault="008901A0" w:rsidP="00207F6C"/>
    <w:p w14:paraId="0CCF8239" w14:textId="5A3F9111" w:rsidR="00550FC1" w:rsidRDefault="00550FC1" w:rsidP="00207F6C">
      <w:r>
        <w:t xml:space="preserve">Selon l’article 16 de la Loi ASFT, </w:t>
      </w:r>
      <w:r w:rsidR="00E65DE4">
        <w:t>un</w:t>
      </w:r>
      <w:r>
        <w:t xml:space="preserve"> Comité de </w:t>
      </w:r>
      <w:r w:rsidR="00E65DE4">
        <w:t>c</w:t>
      </w:r>
      <w:r>
        <w:t>oncertation est convoqué annuellement en vue d’examiner et d’aviser</w:t>
      </w:r>
      <w:r w:rsidRPr="00550FC1">
        <w:t xml:space="preserve"> les modifications des conditions d'agrément </w:t>
      </w:r>
      <w:r>
        <w:t xml:space="preserve">et </w:t>
      </w:r>
      <w:r w:rsidRPr="00550FC1">
        <w:t>le constat établi par le Gouvernement en conseil sur les besoins effectifs</w:t>
      </w:r>
      <w:r>
        <w:t>.</w:t>
      </w:r>
    </w:p>
    <w:p w14:paraId="366AB88D" w14:textId="77777777" w:rsidR="002115F0" w:rsidRDefault="002115F0" w:rsidP="00207F6C"/>
    <w:p w14:paraId="3736BEFB" w14:textId="77777777" w:rsidR="002115F0" w:rsidRDefault="002115F0" w:rsidP="008901A0">
      <w:pPr>
        <w:rPr>
          <w:b/>
          <w:bCs/>
        </w:rPr>
      </w:pPr>
      <w:r>
        <w:rPr>
          <w:b/>
          <w:bCs/>
        </w:rPr>
        <w:t>5. Envergure financière et effectifs</w:t>
      </w:r>
    </w:p>
    <w:p w14:paraId="126666D6" w14:textId="77777777" w:rsidR="008901A0" w:rsidRDefault="008901A0" w:rsidP="00207F6C">
      <w:pPr>
        <w:rPr>
          <w:b/>
          <w:bCs/>
        </w:rPr>
      </w:pPr>
    </w:p>
    <w:tbl>
      <w:tblPr>
        <w:tblStyle w:val="Grilledutableau"/>
        <w:tblW w:w="0" w:type="auto"/>
        <w:jc w:val="center"/>
        <w:tblLook w:val="04A0" w:firstRow="1" w:lastRow="0" w:firstColumn="1" w:lastColumn="0" w:noHBand="0" w:noVBand="1"/>
      </w:tblPr>
      <w:tblGrid>
        <w:gridCol w:w="1777"/>
        <w:gridCol w:w="1217"/>
        <w:gridCol w:w="1217"/>
        <w:gridCol w:w="1217"/>
        <w:gridCol w:w="1217"/>
        <w:gridCol w:w="1217"/>
      </w:tblGrid>
      <w:tr w:rsidR="007E6255" w:rsidRPr="007E6255" w14:paraId="0628551B" w14:textId="77777777" w:rsidTr="007E6255">
        <w:trPr>
          <w:trHeight w:val="289"/>
          <w:jc w:val="center"/>
        </w:trPr>
        <w:tc>
          <w:tcPr>
            <w:tcW w:w="0" w:type="auto"/>
            <w:vAlign w:val="center"/>
            <w:hideMark/>
          </w:tcPr>
          <w:p w14:paraId="42BC0B27" w14:textId="4112B845" w:rsidR="007E6255" w:rsidRPr="007E6255" w:rsidRDefault="007E6255" w:rsidP="007E6255">
            <w:pPr>
              <w:jc w:val="center"/>
              <w:rPr>
                <w:sz w:val="18"/>
                <w:szCs w:val="18"/>
              </w:rPr>
            </w:pPr>
            <w:r w:rsidRPr="007E6255">
              <w:rPr>
                <w:b/>
                <w:bCs/>
                <w:sz w:val="18"/>
                <w:szCs w:val="18"/>
              </w:rPr>
              <w:t>Ministères</w:t>
            </w:r>
          </w:p>
        </w:tc>
        <w:tc>
          <w:tcPr>
            <w:tcW w:w="0" w:type="auto"/>
            <w:vAlign w:val="center"/>
            <w:hideMark/>
          </w:tcPr>
          <w:p w14:paraId="4304A265" w14:textId="77777777" w:rsidR="007E6255" w:rsidRPr="007E6255" w:rsidRDefault="007E6255" w:rsidP="007E6255">
            <w:pPr>
              <w:jc w:val="center"/>
              <w:rPr>
                <w:sz w:val="18"/>
                <w:szCs w:val="18"/>
              </w:rPr>
            </w:pPr>
            <w:r w:rsidRPr="007E6255">
              <w:rPr>
                <w:b/>
                <w:bCs/>
                <w:sz w:val="18"/>
                <w:szCs w:val="18"/>
              </w:rPr>
              <w:t>2016</w:t>
            </w:r>
          </w:p>
        </w:tc>
        <w:tc>
          <w:tcPr>
            <w:tcW w:w="0" w:type="auto"/>
            <w:vAlign w:val="center"/>
            <w:hideMark/>
          </w:tcPr>
          <w:p w14:paraId="23D6E49E" w14:textId="77777777" w:rsidR="007E6255" w:rsidRPr="007E6255" w:rsidRDefault="007E6255" w:rsidP="007E6255">
            <w:pPr>
              <w:jc w:val="center"/>
              <w:rPr>
                <w:sz w:val="18"/>
                <w:szCs w:val="18"/>
              </w:rPr>
            </w:pPr>
            <w:r w:rsidRPr="007E6255">
              <w:rPr>
                <w:b/>
                <w:bCs/>
                <w:sz w:val="18"/>
                <w:szCs w:val="18"/>
              </w:rPr>
              <w:t>2017</w:t>
            </w:r>
          </w:p>
        </w:tc>
        <w:tc>
          <w:tcPr>
            <w:tcW w:w="0" w:type="auto"/>
            <w:vAlign w:val="center"/>
            <w:hideMark/>
          </w:tcPr>
          <w:p w14:paraId="060D58C5" w14:textId="77777777" w:rsidR="007E6255" w:rsidRPr="007E6255" w:rsidRDefault="007E6255" w:rsidP="007E6255">
            <w:pPr>
              <w:jc w:val="center"/>
              <w:rPr>
                <w:sz w:val="18"/>
                <w:szCs w:val="18"/>
              </w:rPr>
            </w:pPr>
            <w:r w:rsidRPr="007E6255">
              <w:rPr>
                <w:b/>
                <w:bCs/>
                <w:sz w:val="18"/>
                <w:szCs w:val="18"/>
              </w:rPr>
              <w:t>2018</w:t>
            </w:r>
          </w:p>
        </w:tc>
        <w:tc>
          <w:tcPr>
            <w:tcW w:w="0" w:type="auto"/>
            <w:vAlign w:val="center"/>
            <w:hideMark/>
          </w:tcPr>
          <w:p w14:paraId="49132919" w14:textId="77777777" w:rsidR="007E6255" w:rsidRPr="007E6255" w:rsidRDefault="007E6255" w:rsidP="007E6255">
            <w:pPr>
              <w:jc w:val="center"/>
              <w:rPr>
                <w:sz w:val="18"/>
                <w:szCs w:val="18"/>
              </w:rPr>
            </w:pPr>
            <w:r w:rsidRPr="007E6255">
              <w:rPr>
                <w:b/>
                <w:bCs/>
                <w:sz w:val="18"/>
                <w:szCs w:val="18"/>
              </w:rPr>
              <w:t>2019</w:t>
            </w:r>
          </w:p>
        </w:tc>
        <w:tc>
          <w:tcPr>
            <w:tcW w:w="0" w:type="auto"/>
            <w:vAlign w:val="center"/>
            <w:hideMark/>
          </w:tcPr>
          <w:p w14:paraId="7F1C925F" w14:textId="77777777" w:rsidR="007E6255" w:rsidRPr="007E6255" w:rsidRDefault="007E6255" w:rsidP="007E6255">
            <w:pPr>
              <w:jc w:val="center"/>
              <w:rPr>
                <w:sz w:val="18"/>
                <w:szCs w:val="18"/>
              </w:rPr>
            </w:pPr>
            <w:r w:rsidRPr="007E6255">
              <w:rPr>
                <w:b/>
                <w:bCs/>
                <w:sz w:val="18"/>
                <w:szCs w:val="18"/>
              </w:rPr>
              <w:t>2020</w:t>
            </w:r>
          </w:p>
        </w:tc>
      </w:tr>
      <w:tr w:rsidR="007E6255" w:rsidRPr="007E6255" w14:paraId="3DB33516" w14:textId="77777777" w:rsidTr="007E6255">
        <w:trPr>
          <w:trHeight w:val="407"/>
          <w:jc w:val="center"/>
        </w:trPr>
        <w:tc>
          <w:tcPr>
            <w:tcW w:w="0" w:type="auto"/>
            <w:vAlign w:val="center"/>
            <w:hideMark/>
          </w:tcPr>
          <w:p w14:paraId="54559365" w14:textId="77777777" w:rsidR="007E6255" w:rsidRPr="007E6255" w:rsidRDefault="007E6255" w:rsidP="007E6255">
            <w:pPr>
              <w:jc w:val="center"/>
              <w:rPr>
                <w:sz w:val="18"/>
                <w:szCs w:val="18"/>
              </w:rPr>
            </w:pPr>
            <w:r w:rsidRPr="007E6255">
              <w:rPr>
                <w:b/>
                <w:bCs/>
                <w:sz w:val="18"/>
                <w:szCs w:val="18"/>
              </w:rPr>
              <w:t>MENJE</w:t>
            </w:r>
          </w:p>
        </w:tc>
        <w:tc>
          <w:tcPr>
            <w:tcW w:w="0" w:type="auto"/>
            <w:vAlign w:val="center"/>
            <w:hideMark/>
          </w:tcPr>
          <w:p w14:paraId="7204786F" w14:textId="5F0CABDF" w:rsidR="007E6255" w:rsidRPr="007E6255" w:rsidRDefault="007E6255" w:rsidP="007E6255">
            <w:pPr>
              <w:jc w:val="center"/>
              <w:rPr>
                <w:sz w:val="18"/>
                <w:szCs w:val="18"/>
              </w:rPr>
            </w:pPr>
            <w:r w:rsidRPr="007E6255">
              <w:rPr>
                <w:sz w:val="18"/>
                <w:szCs w:val="18"/>
              </w:rPr>
              <w:t>298</w:t>
            </w:r>
            <w:r>
              <w:rPr>
                <w:sz w:val="18"/>
                <w:szCs w:val="18"/>
              </w:rPr>
              <w:t> </w:t>
            </w:r>
            <w:r w:rsidRPr="007E6255">
              <w:rPr>
                <w:sz w:val="18"/>
                <w:szCs w:val="18"/>
              </w:rPr>
              <w:t>447</w:t>
            </w:r>
            <w:r>
              <w:rPr>
                <w:sz w:val="18"/>
                <w:szCs w:val="18"/>
              </w:rPr>
              <w:t> </w:t>
            </w:r>
            <w:r w:rsidRPr="007E6255">
              <w:rPr>
                <w:sz w:val="18"/>
                <w:szCs w:val="18"/>
              </w:rPr>
              <w:t>463</w:t>
            </w:r>
          </w:p>
        </w:tc>
        <w:tc>
          <w:tcPr>
            <w:tcW w:w="0" w:type="auto"/>
            <w:vAlign w:val="center"/>
            <w:hideMark/>
          </w:tcPr>
          <w:p w14:paraId="308D25FF" w14:textId="3055ADFB" w:rsidR="007E6255" w:rsidRPr="007E6255" w:rsidRDefault="007E6255" w:rsidP="007E6255">
            <w:pPr>
              <w:jc w:val="center"/>
              <w:rPr>
                <w:sz w:val="18"/>
                <w:szCs w:val="18"/>
              </w:rPr>
            </w:pPr>
            <w:r w:rsidRPr="007E6255">
              <w:rPr>
                <w:sz w:val="18"/>
                <w:szCs w:val="18"/>
              </w:rPr>
              <w:t>320</w:t>
            </w:r>
            <w:r>
              <w:rPr>
                <w:sz w:val="18"/>
                <w:szCs w:val="18"/>
              </w:rPr>
              <w:t> </w:t>
            </w:r>
            <w:r w:rsidRPr="007E6255">
              <w:rPr>
                <w:sz w:val="18"/>
                <w:szCs w:val="18"/>
              </w:rPr>
              <w:t>329</w:t>
            </w:r>
            <w:r>
              <w:rPr>
                <w:sz w:val="18"/>
                <w:szCs w:val="18"/>
              </w:rPr>
              <w:t> </w:t>
            </w:r>
            <w:r w:rsidRPr="007E6255">
              <w:rPr>
                <w:sz w:val="18"/>
                <w:szCs w:val="18"/>
              </w:rPr>
              <w:t>805</w:t>
            </w:r>
          </w:p>
        </w:tc>
        <w:tc>
          <w:tcPr>
            <w:tcW w:w="0" w:type="auto"/>
            <w:vAlign w:val="center"/>
            <w:hideMark/>
          </w:tcPr>
          <w:p w14:paraId="31F7823A" w14:textId="77C29770" w:rsidR="007E6255" w:rsidRPr="007E6255" w:rsidRDefault="007E6255" w:rsidP="007E6255">
            <w:pPr>
              <w:jc w:val="center"/>
              <w:rPr>
                <w:sz w:val="18"/>
                <w:szCs w:val="18"/>
              </w:rPr>
            </w:pPr>
            <w:r w:rsidRPr="007E6255">
              <w:rPr>
                <w:sz w:val="18"/>
                <w:szCs w:val="18"/>
              </w:rPr>
              <w:t>353</w:t>
            </w:r>
            <w:r>
              <w:rPr>
                <w:sz w:val="18"/>
                <w:szCs w:val="18"/>
              </w:rPr>
              <w:t> </w:t>
            </w:r>
            <w:r w:rsidRPr="007E6255">
              <w:rPr>
                <w:sz w:val="18"/>
                <w:szCs w:val="18"/>
              </w:rPr>
              <w:t>506</w:t>
            </w:r>
            <w:r>
              <w:rPr>
                <w:sz w:val="18"/>
                <w:szCs w:val="18"/>
              </w:rPr>
              <w:t> </w:t>
            </w:r>
            <w:r w:rsidRPr="007E6255">
              <w:rPr>
                <w:sz w:val="18"/>
                <w:szCs w:val="18"/>
              </w:rPr>
              <w:t>667</w:t>
            </w:r>
          </w:p>
        </w:tc>
        <w:tc>
          <w:tcPr>
            <w:tcW w:w="0" w:type="auto"/>
            <w:vAlign w:val="center"/>
            <w:hideMark/>
          </w:tcPr>
          <w:p w14:paraId="7F4BB5B2" w14:textId="574F06A3" w:rsidR="007E6255" w:rsidRPr="007E6255" w:rsidRDefault="007E6255" w:rsidP="007E6255">
            <w:pPr>
              <w:jc w:val="center"/>
              <w:rPr>
                <w:sz w:val="18"/>
                <w:szCs w:val="18"/>
              </w:rPr>
            </w:pPr>
            <w:r w:rsidRPr="007E6255">
              <w:rPr>
                <w:sz w:val="18"/>
                <w:szCs w:val="18"/>
              </w:rPr>
              <w:t>418</w:t>
            </w:r>
            <w:r>
              <w:rPr>
                <w:sz w:val="18"/>
                <w:szCs w:val="18"/>
              </w:rPr>
              <w:t> </w:t>
            </w:r>
            <w:r w:rsidRPr="007E6255">
              <w:rPr>
                <w:sz w:val="18"/>
                <w:szCs w:val="18"/>
              </w:rPr>
              <w:t>293</w:t>
            </w:r>
            <w:r>
              <w:rPr>
                <w:sz w:val="18"/>
                <w:szCs w:val="18"/>
              </w:rPr>
              <w:t> </w:t>
            </w:r>
            <w:r w:rsidRPr="007E6255">
              <w:rPr>
                <w:sz w:val="18"/>
                <w:szCs w:val="18"/>
              </w:rPr>
              <w:t>270</w:t>
            </w:r>
          </w:p>
        </w:tc>
        <w:tc>
          <w:tcPr>
            <w:tcW w:w="0" w:type="auto"/>
            <w:vAlign w:val="center"/>
            <w:hideMark/>
          </w:tcPr>
          <w:p w14:paraId="16866A93" w14:textId="49C1A704" w:rsidR="007E6255" w:rsidRPr="007E6255" w:rsidRDefault="007E6255" w:rsidP="007E6255">
            <w:pPr>
              <w:jc w:val="center"/>
              <w:rPr>
                <w:sz w:val="18"/>
                <w:szCs w:val="18"/>
              </w:rPr>
            </w:pPr>
            <w:r w:rsidRPr="007E6255">
              <w:rPr>
                <w:sz w:val="18"/>
                <w:szCs w:val="18"/>
              </w:rPr>
              <w:t>466</w:t>
            </w:r>
            <w:r>
              <w:rPr>
                <w:sz w:val="18"/>
                <w:szCs w:val="18"/>
              </w:rPr>
              <w:t> </w:t>
            </w:r>
            <w:r w:rsidRPr="007E6255">
              <w:rPr>
                <w:sz w:val="18"/>
                <w:szCs w:val="18"/>
              </w:rPr>
              <w:t>325</w:t>
            </w:r>
            <w:r>
              <w:rPr>
                <w:sz w:val="18"/>
                <w:szCs w:val="18"/>
              </w:rPr>
              <w:t> </w:t>
            </w:r>
            <w:r w:rsidRPr="007E6255">
              <w:rPr>
                <w:sz w:val="18"/>
                <w:szCs w:val="18"/>
              </w:rPr>
              <w:t>610</w:t>
            </w:r>
          </w:p>
        </w:tc>
      </w:tr>
      <w:tr w:rsidR="007E6255" w:rsidRPr="007E6255" w14:paraId="22D5C4C1" w14:textId="77777777" w:rsidTr="007E6255">
        <w:trPr>
          <w:trHeight w:val="410"/>
          <w:jc w:val="center"/>
        </w:trPr>
        <w:tc>
          <w:tcPr>
            <w:tcW w:w="0" w:type="auto"/>
            <w:vAlign w:val="center"/>
            <w:hideMark/>
          </w:tcPr>
          <w:p w14:paraId="1F0862DD" w14:textId="77777777" w:rsidR="007E6255" w:rsidRPr="007E6255" w:rsidRDefault="007E6255" w:rsidP="007E6255">
            <w:pPr>
              <w:jc w:val="center"/>
              <w:rPr>
                <w:sz w:val="18"/>
                <w:szCs w:val="18"/>
              </w:rPr>
            </w:pPr>
            <w:r w:rsidRPr="007E6255">
              <w:rPr>
                <w:b/>
                <w:bCs/>
                <w:sz w:val="18"/>
                <w:szCs w:val="18"/>
              </w:rPr>
              <w:t>MIFA</w:t>
            </w:r>
          </w:p>
        </w:tc>
        <w:tc>
          <w:tcPr>
            <w:tcW w:w="0" w:type="auto"/>
            <w:vAlign w:val="center"/>
            <w:hideMark/>
          </w:tcPr>
          <w:p w14:paraId="1FC571E8" w14:textId="6967F250" w:rsidR="007E6255" w:rsidRPr="007E6255" w:rsidRDefault="007E6255" w:rsidP="007E6255">
            <w:pPr>
              <w:jc w:val="center"/>
              <w:rPr>
                <w:sz w:val="18"/>
                <w:szCs w:val="18"/>
              </w:rPr>
            </w:pPr>
            <w:r w:rsidRPr="007E6255">
              <w:rPr>
                <w:sz w:val="18"/>
                <w:szCs w:val="18"/>
              </w:rPr>
              <w:t>89</w:t>
            </w:r>
            <w:r>
              <w:rPr>
                <w:sz w:val="18"/>
                <w:szCs w:val="18"/>
              </w:rPr>
              <w:t> </w:t>
            </w:r>
            <w:r w:rsidRPr="007E6255">
              <w:rPr>
                <w:sz w:val="18"/>
                <w:szCs w:val="18"/>
              </w:rPr>
              <w:t>150</w:t>
            </w:r>
            <w:r>
              <w:rPr>
                <w:sz w:val="18"/>
                <w:szCs w:val="18"/>
              </w:rPr>
              <w:t> </w:t>
            </w:r>
            <w:r w:rsidRPr="007E6255">
              <w:rPr>
                <w:sz w:val="18"/>
                <w:szCs w:val="18"/>
              </w:rPr>
              <w:t>358</w:t>
            </w:r>
          </w:p>
        </w:tc>
        <w:tc>
          <w:tcPr>
            <w:tcW w:w="0" w:type="auto"/>
            <w:vAlign w:val="center"/>
            <w:hideMark/>
          </w:tcPr>
          <w:p w14:paraId="74AF9EE7" w14:textId="3CCF189C" w:rsidR="007E6255" w:rsidRPr="007E6255" w:rsidRDefault="007E6255" w:rsidP="007E6255">
            <w:pPr>
              <w:jc w:val="center"/>
              <w:rPr>
                <w:sz w:val="18"/>
                <w:szCs w:val="18"/>
              </w:rPr>
            </w:pPr>
            <w:r w:rsidRPr="007E6255">
              <w:rPr>
                <w:sz w:val="18"/>
                <w:szCs w:val="18"/>
              </w:rPr>
              <w:t>96</w:t>
            </w:r>
            <w:r>
              <w:rPr>
                <w:sz w:val="18"/>
                <w:szCs w:val="18"/>
              </w:rPr>
              <w:t> </w:t>
            </w:r>
            <w:r w:rsidRPr="007E6255">
              <w:rPr>
                <w:sz w:val="18"/>
                <w:szCs w:val="18"/>
              </w:rPr>
              <w:t>783</w:t>
            </w:r>
            <w:r>
              <w:rPr>
                <w:sz w:val="18"/>
                <w:szCs w:val="18"/>
              </w:rPr>
              <w:t> </w:t>
            </w:r>
            <w:r w:rsidRPr="007E6255">
              <w:rPr>
                <w:sz w:val="18"/>
                <w:szCs w:val="18"/>
              </w:rPr>
              <w:t>798</w:t>
            </w:r>
          </w:p>
        </w:tc>
        <w:tc>
          <w:tcPr>
            <w:tcW w:w="0" w:type="auto"/>
            <w:vAlign w:val="center"/>
            <w:hideMark/>
          </w:tcPr>
          <w:p w14:paraId="10700B04" w14:textId="38F76A8B" w:rsidR="007E6255" w:rsidRPr="007E6255" w:rsidRDefault="007E6255" w:rsidP="007E6255">
            <w:pPr>
              <w:jc w:val="center"/>
              <w:rPr>
                <w:sz w:val="18"/>
                <w:szCs w:val="18"/>
              </w:rPr>
            </w:pPr>
            <w:r w:rsidRPr="007E6255">
              <w:rPr>
                <w:sz w:val="18"/>
                <w:szCs w:val="18"/>
              </w:rPr>
              <w:t>102</w:t>
            </w:r>
            <w:r>
              <w:rPr>
                <w:sz w:val="18"/>
                <w:szCs w:val="18"/>
              </w:rPr>
              <w:t> </w:t>
            </w:r>
            <w:r w:rsidRPr="007E6255">
              <w:rPr>
                <w:sz w:val="18"/>
                <w:szCs w:val="18"/>
              </w:rPr>
              <w:t>305</w:t>
            </w:r>
            <w:r>
              <w:rPr>
                <w:sz w:val="18"/>
                <w:szCs w:val="18"/>
              </w:rPr>
              <w:t> </w:t>
            </w:r>
            <w:r w:rsidRPr="007E6255">
              <w:rPr>
                <w:sz w:val="18"/>
                <w:szCs w:val="18"/>
              </w:rPr>
              <w:t>598</w:t>
            </w:r>
          </w:p>
        </w:tc>
        <w:tc>
          <w:tcPr>
            <w:tcW w:w="0" w:type="auto"/>
            <w:vAlign w:val="center"/>
            <w:hideMark/>
          </w:tcPr>
          <w:p w14:paraId="35635F1D" w14:textId="62DBFADF" w:rsidR="007E6255" w:rsidRPr="007E6255" w:rsidRDefault="007E6255" w:rsidP="007E6255">
            <w:pPr>
              <w:jc w:val="center"/>
              <w:rPr>
                <w:sz w:val="18"/>
                <w:szCs w:val="18"/>
              </w:rPr>
            </w:pPr>
            <w:r w:rsidRPr="007E6255">
              <w:rPr>
                <w:sz w:val="18"/>
                <w:szCs w:val="18"/>
              </w:rPr>
              <w:t>121</w:t>
            </w:r>
            <w:r>
              <w:rPr>
                <w:sz w:val="18"/>
                <w:szCs w:val="18"/>
              </w:rPr>
              <w:t> </w:t>
            </w:r>
            <w:r w:rsidRPr="007E6255">
              <w:rPr>
                <w:sz w:val="18"/>
                <w:szCs w:val="18"/>
              </w:rPr>
              <w:t>215</w:t>
            </w:r>
            <w:r>
              <w:rPr>
                <w:sz w:val="18"/>
                <w:szCs w:val="18"/>
              </w:rPr>
              <w:t> </w:t>
            </w:r>
            <w:r w:rsidRPr="007E6255">
              <w:rPr>
                <w:sz w:val="18"/>
                <w:szCs w:val="18"/>
              </w:rPr>
              <w:t>933</w:t>
            </w:r>
          </w:p>
        </w:tc>
        <w:tc>
          <w:tcPr>
            <w:tcW w:w="0" w:type="auto"/>
            <w:vAlign w:val="center"/>
            <w:hideMark/>
          </w:tcPr>
          <w:p w14:paraId="40449A07" w14:textId="68CB7043" w:rsidR="007E6255" w:rsidRPr="007E6255" w:rsidRDefault="007E6255" w:rsidP="007E6255">
            <w:pPr>
              <w:jc w:val="center"/>
              <w:rPr>
                <w:sz w:val="18"/>
                <w:szCs w:val="18"/>
              </w:rPr>
            </w:pPr>
            <w:r w:rsidRPr="007E6255">
              <w:rPr>
                <w:sz w:val="18"/>
                <w:szCs w:val="18"/>
              </w:rPr>
              <w:t>126</w:t>
            </w:r>
            <w:r>
              <w:rPr>
                <w:sz w:val="18"/>
                <w:szCs w:val="18"/>
              </w:rPr>
              <w:t> </w:t>
            </w:r>
            <w:r w:rsidRPr="007E6255">
              <w:rPr>
                <w:sz w:val="18"/>
                <w:szCs w:val="18"/>
              </w:rPr>
              <w:t>669</w:t>
            </w:r>
            <w:r>
              <w:rPr>
                <w:sz w:val="18"/>
                <w:szCs w:val="18"/>
              </w:rPr>
              <w:t> </w:t>
            </w:r>
            <w:r w:rsidRPr="007E6255">
              <w:rPr>
                <w:sz w:val="18"/>
                <w:szCs w:val="18"/>
              </w:rPr>
              <w:t>477</w:t>
            </w:r>
          </w:p>
        </w:tc>
      </w:tr>
      <w:tr w:rsidR="007E6255" w:rsidRPr="007E6255" w14:paraId="4AD708F6" w14:textId="77777777" w:rsidTr="007E6255">
        <w:trPr>
          <w:trHeight w:val="432"/>
          <w:jc w:val="center"/>
        </w:trPr>
        <w:tc>
          <w:tcPr>
            <w:tcW w:w="0" w:type="auto"/>
            <w:vAlign w:val="center"/>
            <w:hideMark/>
          </w:tcPr>
          <w:p w14:paraId="7DE9DB27" w14:textId="063413B3" w:rsidR="007E6255" w:rsidRPr="007E6255" w:rsidRDefault="007E6255" w:rsidP="007E6255">
            <w:pPr>
              <w:jc w:val="center"/>
              <w:rPr>
                <w:sz w:val="18"/>
                <w:szCs w:val="18"/>
              </w:rPr>
            </w:pPr>
            <w:r w:rsidRPr="007E6255">
              <w:rPr>
                <w:b/>
                <w:bCs/>
                <w:sz w:val="18"/>
                <w:szCs w:val="18"/>
              </w:rPr>
              <w:t>MISA</w:t>
            </w:r>
          </w:p>
        </w:tc>
        <w:tc>
          <w:tcPr>
            <w:tcW w:w="0" w:type="auto"/>
            <w:vAlign w:val="center"/>
            <w:hideMark/>
          </w:tcPr>
          <w:p w14:paraId="0F896C78" w14:textId="3545414B" w:rsidR="007E6255" w:rsidRPr="007E6255" w:rsidRDefault="007E6255" w:rsidP="007E6255">
            <w:pPr>
              <w:jc w:val="center"/>
              <w:rPr>
                <w:sz w:val="18"/>
                <w:szCs w:val="18"/>
              </w:rPr>
            </w:pPr>
            <w:r w:rsidRPr="007E6255">
              <w:rPr>
                <w:sz w:val="18"/>
                <w:szCs w:val="18"/>
              </w:rPr>
              <w:t>40</w:t>
            </w:r>
            <w:r>
              <w:rPr>
                <w:sz w:val="18"/>
                <w:szCs w:val="18"/>
              </w:rPr>
              <w:t> </w:t>
            </w:r>
            <w:r w:rsidRPr="007E6255">
              <w:rPr>
                <w:sz w:val="18"/>
                <w:szCs w:val="18"/>
              </w:rPr>
              <w:t>925</w:t>
            </w:r>
            <w:r>
              <w:rPr>
                <w:sz w:val="18"/>
                <w:szCs w:val="18"/>
              </w:rPr>
              <w:t> </w:t>
            </w:r>
            <w:r w:rsidRPr="007E6255">
              <w:rPr>
                <w:sz w:val="18"/>
                <w:szCs w:val="18"/>
              </w:rPr>
              <w:t>358</w:t>
            </w:r>
          </w:p>
        </w:tc>
        <w:tc>
          <w:tcPr>
            <w:tcW w:w="0" w:type="auto"/>
            <w:vAlign w:val="center"/>
            <w:hideMark/>
          </w:tcPr>
          <w:p w14:paraId="2612F077" w14:textId="60435F46" w:rsidR="007E6255" w:rsidRPr="007E6255" w:rsidRDefault="007E6255" w:rsidP="007E6255">
            <w:pPr>
              <w:jc w:val="center"/>
              <w:rPr>
                <w:sz w:val="18"/>
                <w:szCs w:val="18"/>
              </w:rPr>
            </w:pPr>
            <w:r w:rsidRPr="007E6255">
              <w:rPr>
                <w:sz w:val="18"/>
                <w:szCs w:val="18"/>
              </w:rPr>
              <w:t>42</w:t>
            </w:r>
            <w:r>
              <w:rPr>
                <w:sz w:val="18"/>
                <w:szCs w:val="18"/>
              </w:rPr>
              <w:t> </w:t>
            </w:r>
            <w:r w:rsidRPr="007E6255">
              <w:rPr>
                <w:sz w:val="18"/>
                <w:szCs w:val="18"/>
              </w:rPr>
              <w:t>311</w:t>
            </w:r>
            <w:r>
              <w:rPr>
                <w:sz w:val="18"/>
                <w:szCs w:val="18"/>
              </w:rPr>
              <w:t> </w:t>
            </w:r>
            <w:r w:rsidRPr="007E6255">
              <w:rPr>
                <w:sz w:val="18"/>
                <w:szCs w:val="18"/>
              </w:rPr>
              <w:t>250</w:t>
            </w:r>
          </w:p>
        </w:tc>
        <w:tc>
          <w:tcPr>
            <w:tcW w:w="0" w:type="auto"/>
            <w:vAlign w:val="center"/>
            <w:hideMark/>
          </w:tcPr>
          <w:p w14:paraId="3F9FD9E6" w14:textId="07F8DBAA" w:rsidR="007E6255" w:rsidRPr="007E6255" w:rsidRDefault="007E6255" w:rsidP="007E6255">
            <w:pPr>
              <w:jc w:val="center"/>
              <w:rPr>
                <w:sz w:val="18"/>
                <w:szCs w:val="18"/>
              </w:rPr>
            </w:pPr>
            <w:r w:rsidRPr="007E6255">
              <w:rPr>
                <w:sz w:val="18"/>
                <w:szCs w:val="18"/>
              </w:rPr>
              <w:t>46</w:t>
            </w:r>
            <w:r>
              <w:rPr>
                <w:sz w:val="18"/>
                <w:szCs w:val="18"/>
              </w:rPr>
              <w:t> </w:t>
            </w:r>
            <w:r w:rsidRPr="007E6255">
              <w:rPr>
                <w:sz w:val="18"/>
                <w:szCs w:val="18"/>
              </w:rPr>
              <w:t>702</w:t>
            </w:r>
            <w:r>
              <w:rPr>
                <w:sz w:val="18"/>
                <w:szCs w:val="18"/>
              </w:rPr>
              <w:t> 7</w:t>
            </w:r>
            <w:r w:rsidRPr="007E6255">
              <w:rPr>
                <w:sz w:val="18"/>
                <w:szCs w:val="18"/>
              </w:rPr>
              <w:t>14</w:t>
            </w:r>
          </w:p>
        </w:tc>
        <w:tc>
          <w:tcPr>
            <w:tcW w:w="0" w:type="auto"/>
            <w:vAlign w:val="center"/>
            <w:hideMark/>
          </w:tcPr>
          <w:p w14:paraId="72773022" w14:textId="79276599" w:rsidR="007E6255" w:rsidRPr="007E6255" w:rsidRDefault="007E6255" w:rsidP="007E6255">
            <w:pPr>
              <w:jc w:val="center"/>
              <w:rPr>
                <w:sz w:val="18"/>
                <w:szCs w:val="18"/>
              </w:rPr>
            </w:pPr>
            <w:r w:rsidRPr="007E6255">
              <w:rPr>
                <w:sz w:val="18"/>
                <w:szCs w:val="18"/>
              </w:rPr>
              <w:t>52</w:t>
            </w:r>
            <w:r>
              <w:rPr>
                <w:sz w:val="18"/>
                <w:szCs w:val="18"/>
              </w:rPr>
              <w:t> </w:t>
            </w:r>
            <w:r w:rsidRPr="007E6255">
              <w:rPr>
                <w:sz w:val="18"/>
                <w:szCs w:val="18"/>
              </w:rPr>
              <w:t>912</w:t>
            </w:r>
            <w:r>
              <w:rPr>
                <w:sz w:val="18"/>
                <w:szCs w:val="18"/>
              </w:rPr>
              <w:t> </w:t>
            </w:r>
            <w:r w:rsidRPr="007E6255">
              <w:rPr>
                <w:sz w:val="18"/>
                <w:szCs w:val="18"/>
              </w:rPr>
              <w:t>384</w:t>
            </w:r>
          </w:p>
        </w:tc>
        <w:tc>
          <w:tcPr>
            <w:tcW w:w="0" w:type="auto"/>
            <w:vAlign w:val="center"/>
            <w:hideMark/>
          </w:tcPr>
          <w:p w14:paraId="617E718D" w14:textId="5A4A6CD1" w:rsidR="007E6255" w:rsidRPr="007E6255" w:rsidRDefault="007E6255" w:rsidP="007E6255">
            <w:pPr>
              <w:jc w:val="center"/>
              <w:rPr>
                <w:sz w:val="18"/>
                <w:szCs w:val="18"/>
              </w:rPr>
            </w:pPr>
            <w:r w:rsidRPr="007E6255">
              <w:rPr>
                <w:sz w:val="18"/>
                <w:szCs w:val="18"/>
              </w:rPr>
              <w:t>57</w:t>
            </w:r>
            <w:r>
              <w:rPr>
                <w:sz w:val="18"/>
                <w:szCs w:val="18"/>
              </w:rPr>
              <w:t> </w:t>
            </w:r>
            <w:r w:rsidRPr="007E6255">
              <w:rPr>
                <w:sz w:val="18"/>
                <w:szCs w:val="18"/>
              </w:rPr>
              <w:t>595</w:t>
            </w:r>
            <w:r>
              <w:rPr>
                <w:sz w:val="18"/>
                <w:szCs w:val="18"/>
              </w:rPr>
              <w:t> </w:t>
            </w:r>
            <w:r w:rsidRPr="007E6255">
              <w:rPr>
                <w:sz w:val="18"/>
                <w:szCs w:val="18"/>
              </w:rPr>
              <w:t>192</w:t>
            </w:r>
          </w:p>
        </w:tc>
      </w:tr>
      <w:tr w:rsidR="007E6255" w:rsidRPr="007E6255" w14:paraId="75CCE1CB" w14:textId="77777777" w:rsidTr="007E6255">
        <w:trPr>
          <w:trHeight w:val="410"/>
          <w:jc w:val="center"/>
        </w:trPr>
        <w:tc>
          <w:tcPr>
            <w:tcW w:w="0" w:type="auto"/>
            <w:vAlign w:val="center"/>
            <w:hideMark/>
          </w:tcPr>
          <w:p w14:paraId="367F9DEF" w14:textId="77777777" w:rsidR="007E6255" w:rsidRPr="007E6255" w:rsidRDefault="007E6255" w:rsidP="007E6255">
            <w:pPr>
              <w:jc w:val="center"/>
              <w:rPr>
                <w:sz w:val="18"/>
                <w:szCs w:val="18"/>
              </w:rPr>
            </w:pPr>
            <w:r w:rsidRPr="007E6255">
              <w:rPr>
                <w:b/>
                <w:bCs/>
                <w:sz w:val="18"/>
                <w:szCs w:val="18"/>
                <w:lang w:val="fr-LU"/>
              </w:rPr>
              <w:t>MEGA</w:t>
            </w:r>
          </w:p>
        </w:tc>
        <w:tc>
          <w:tcPr>
            <w:tcW w:w="0" w:type="auto"/>
            <w:vAlign w:val="center"/>
            <w:hideMark/>
          </w:tcPr>
          <w:p w14:paraId="58DAA820" w14:textId="76E5A0B3" w:rsidR="007E6255" w:rsidRPr="007E6255" w:rsidRDefault="007E6255" w:rsidP="007E6255">
            <w:pPr>
              <w:jc w:val="center"/>
              <w:rPr>
                <w:sz w:val="18"/>
                <w:szCs w:val="18"/>
              </w:rPr>
            </w:pPr>
            <w:r w:rsidRPr="007E6255">
              <w:rPr>
                <w:sz w:val="18"/>
                <w:szCs w:val="18"/>
              </w:rPr>
              <w:t>11</w:t>
            </w:r>
            <w:r>
              <w:rPr>
                <w:sz w:val="18"/>
                <w:szCs w:val="18"/>
              </w:rPr>
              <w:t> </w:t>
            </w:r>
            <w:r w:rsidRPr="007E6255">
              <w:rPr>
                <w:sz w:val="18"/>
                <w:szCs w:val="18"/>
              </w:rPr>
              <w:t>892</w:t>
            </w:r>
            <w:r>
              <w:rPr>
                <w:sz w:val="18"/>
                <w:szCs w:val="18"/>
              </w:rPr>
              <w:t> </w:t>
            </w:r>
            <w:r w:rsidRPr="007E6255">
              <w:rPr>
                <w:sz w:val="18"/>
                <w:szCs w:val="18"/>
              </w:rPr>
              <w:t>297</w:t>
            </w:r>
          </w:p>
        </w:tc>
        <w:tc>
          <w:tcPr>
            <w:tcW w:w="0" w:type="auto"/>
            <w:vAlign w:val="center"/>
            <w:hideMark/>
          </w:tcPr>
          <w:p w14:paraId="5770A658" w14:textId="1DE8CAB4" w:rsidR="007E6255" w:rsidRPr="007E6255" w:rsidRDefault="007E6255" w:rsidP="007E6255">
            <w:pPr>
              <w:jc w:val="center"/>
              <w:rPr>
                <w:sz w:val="18"/>
                <w:szCs w:val="18"/>
              </w:rPr>
            </w:pPr>
            <w:r w:rsidRPr="007E6255">
              <w:rPr>
                <w:sz w:val="18"/>
                <w:szCs w:val="18"/>
              </w:rPr>
              <w:t>12</w:t>
            </w:r>
            <w:r>
              <w:rPr>
                <w:sz w:val="18"/>
                <w:szCs w:val="18"/>
              </w:rPr>
              <w:t> </w:t>
            </w:r>
            <w:r w:rsidRPr="007E6255">
              <w:rPr>
                <w:sz w:val="18"/>
                <w:szCs w:val="18"/>
              </w:rPr>
              <w:t>562</w:t>
            </w:r>
            <w:r>
              <w:rPr>
                <w:sz w:val="18"/>
                <w:szCs w:val="18"/>
              </w:rPr>
              <w:t> </w:t>
            </w:r>
            <w:r w:rsidRPr="007E6255">
              <w:rPr>
                <w:sz w:val="18"/>
                <w:szCs w:val="18"/>
              </w:rPr>
              <w:t>664</w:t>
            </w:r>
          </w:p>
        </w:tc>
        <w:tc>
          <w:tcPr>
            <w:tcW w:w="0" w:type="auto"/>
            <w:vAlign w:val="center"/>
            <w:hideMark/>
          </w:tcPr>
          <w:p w14:paraId="17AA6C31" w14:textId="012B78B3" w:rsidR="007E6255" w:rsidRPr="007E6255" w:rsidRDefault="007E6255" w:rsidP="007E6255">
            <w:pPr>
              <w:jc w:val="center"/>
              <w:rPr>
                <w:sz w:val="18"/>
                <w:szCs w:val="18"/>
              </w:rPr>
            </w:pPr>
            <w:r w:rsidRPr="007E6255">
              <w:rPr>
                <w:sz w:val="18"/>
                <w:szCs w:val="18"/>
              </w:rPr>
              <w:t>14</w:t>
            </w:r>
            <w:r>
              <w:rPr>
                <w:sz w:val="18"/>
                <w:szCs w:val="18"/>
              </w:rPr>
              <w:t> </w:t>
            </w:r>
            <w:r w:rsidRPr="007E6255">
              <w:rPr>
                <w:sz w:val="18"/>
                <w:szCs w:val="18"/>
              </w:rPr>
              <w:t>434</w:t>
            </w:r>
            <w:r>
              <w:rPr>
                <w:sz w:val="18"/>
                <w:szCs w:val="18"/>
              </w:rPr>
              <w:t> </w:t>
            </w:r>
            <w:r w:rsidRPr="007E6255">
              <w:rPr>
                <w:sz w:val="18"/>
                <w:szCs w:val="18"/>
              </w:rPr>
              <w:t>583</w:t>
            </w:r>
          </w:p>
        </w:tc>
        <w:tc>
          <w:tcPr>
            <w:tcW w:w="0" w:type="auto"/>
            <w:vAlign w:val="center"/>
            <w:hideMark/>
          </w:tcPr>
          <w:p w14:paraId="00054EB3" w14:textId="5AD46E90" w:rsidR="007E6255" w:rsidRPr="007E6255" w:rsidRDefault="007E6255" w:rsidP="007E6255">
            <w:pPr>
              <w:jc w:val="center"/>
              <w:rPr>
                <w:sz w:val="18"/>
                <w:szCs w:val="18"/>
              </w:rPr>
            </w:pPr>
            <w:r w:rsidRPr="007E6255">
              <w:rPr>
                <w:sz w:val="18"/>
                <w:szCs w:val="18"/>
              </w:rPr>
              <w:t>15</w:t>
            </w:r>
            <w:r>
              <w:rPr>
                <w:sz w:val="18"/>
                <w:szCs w:val="18"/>
              </w:rPr>
              <w:t> </w:t>
            </w:r>
            <w:r w:rsidRPr="007E6255">
              <w:rPr>
                <w:sz w:val="18"/>
                <w:szCs w:val="18"/>
              </w:rPr>
              <w:t>164</w:t>
            </w:r>
            <w:r>
              <w:rPr>
                <w:sz w:val="18"/>
                <w:szCs w:val="18"/>
              </w:rPr>
              <w:t> </w:t>
            </w:r>
            <w:r w:rsidRPr="007E6255">
              <w:rPr>
                <w:sz w:val="18"/>
                <w:szCs w:val="18"/>
              </w:rPr>
              <w:t>258</w:t>
            </w:r>
          </w:p>
        </w:tc>
        <w:tc>
          <w:tcPr>
            <w:tcW w:w="0" w:type="auto"/>
            <w:vAlign w:val="center"/>
            <w:hideMark/>
          </w:tcPr>
          <w:p w14:paraId="66A8D3A9" w14:textId="77154A15" w:rsidR="007E6255" w:rsidRPr="007E6255" w:rsidRDefault="007E6255" w:rsidP="007E6255">
            <w:pPr>
              <w:jc w:val="center"/>
              <w:rPr>
                <w:sz w:val="18"/>
                <w:szCs w:val="18"/>
              </w:rPr>
            </w:pPr>
            <w:r w:rsidRPr="007E6255">
              <w:rPr>
                <w:sz w:val="18"/>
                <w:szCs w:val="18"/>
              </w:rPr>
              <w:t>16</w:t>
            </w:r>
            <w:r>
              <w:rPr>
                <w:sz w:val="18"/>
                <w:szCs w:val="18"/>
              </w:rPr>
              <w:t> </w:t>
            </w:r>
            <w:r w:rsidRPr="007E6255">
              <w:rPr>
                <w:sz w:val="18"/>
                <w:szCs w:val="18"/>
              </w:rPr>
              <w:t>860</w:t>
            </w:r>
            <w:r>
              <w:rPr>
                <w:sz w:val="18"/>
                <w:szCs w:val="18"/>
              </w:rPr>
              <w:t> </w:t>
            </w:r>
            <w:r w:rsidRPr="007E6255">
              <w:rPr>
                <w:sz w:val="18"/>
                <w:szCs w:val="18"/>
              </w:rPr>
              <w:t>667</w:t>
            </w:r>
          </w:p>
        </w:tc>
      </w:tr>
      <w:tr w:rsidR="007E6255" w:rsidRPr="007E6255" w14:paraId="6596A3DF" w14:textId="77777777" w:rsidTr="007E6255">
        <w:trPr>
          <w:trHeight w:val="417"/>
          <w:jc w:val="center"/>
        </w:trPr>
        <w:tc>
          <w:tcPr>
            <w:tcW w:w="0" w:type="auto"/>
            <w:vAlign w:val="center"/>
            <w:hideMark/>
          </w:tcPr>
          <w:p w14:paraId="4FFF29EC" w14:textId="2F29E7BC" w:rsidR="007E6255" w:rsidRPr="007E6255" w:rsidRDefault="007E6255" w:rsidP="007E6255">
            <w:pPr>
              <w:jc w:val="center"/>
              <w:rPr>
                <w:sz w:val="18"/>
                <w:szCs w:val="18"/>
              </w:rPr>
            </w:pPr>
            <w:r w:rsidRPr="007E6255">
              <w:rPr>
                <w:b/>
                <w:bCs/>
                <w:sz w:val="18"/>
                <w:szCs w:val="18"/>
              </w:rPr>
              <w:t>Total de l</w:t>
            </w:r>
            <w:r>
              <w:rPr>
                <w:b/>
                <w:bCs/>
                <w:sz w:val="18"/>
                <w:szCs w:val="18"/>
              </w:rPr>
              <w:t>’</w:t>
            </w:r>
            <w:r w:rsidRPr="007E6255">
              <w:rPr>
                <w:b/>
                <w:bCs/>
                <w:sz w:val="18"/>
                <w:szCs w:val="18"/>
              </w:rPr>
              <w:t>exercice</w:t>
            </w:r>
          </w:p>
        </w:tc>
        <w:tc>
          <w:tcPr>
            <w:tcW w:w="0" w:type="auto"/>
            <w:vAlign w:val="center"/>
            <w:hideMark/>
          </w:tcPr>
          <w:p w14:paraId="0AF82246" w14:textId="21F6BF71" w:rsidR="007E6255" w:rsidRPr="007E6255" w:rsidRDefault="007E6255" w:rsidP="007E6255">
            <w:pPr>
              <w:jc w:val="center"/>
              <w:rPr>
                <w:sz w:val="18"/>
                <w:szCs w:val="18"/>
              </w:rPr>
            </w:pPr>
            <w:r w:rsidRPr="007E6255">
              <w:rPr>
                <w:b/>
                <w:bCs/>
                <w:sz w:val="18"/>
                <w:szCs w:val="18"/>
              </w:rPr>
              <w:t>440</w:t>
            </w:r>
            <w:r>
              <w:rPr>
                <w:b/>
                <w:bCs/>
                <w:sz w:val="18"/>
                <w:szCs w:val="18"/>
              </w:rPr>
              <w:t> </w:t>
            </w:r>
            <w:r w:rsidRPr="007E6255">
              <w:rPr>
                <w:b/>
                <w:bCs/>
                <w:sz w:val="18"/>
                <w:szCs w:val="18"/>
              </w:rPr>
              <w:t>415</w:t>
            </w:r>
            <w:r>
              <w:rPr>
                <w:b/>
                <w:bCs/>
                <w:sz w:val="18"/>
                <w:szCs w:val="18"/>
              </w:rPr>
              <w:t> </w:t>
            </w:r>
            <w:r w:rsidRPr="007E6255">
              <w:rPr>
                <w:b/>
                <w:bCs/>
                <w:sz w:val="18"/>
                <w:szCs w:val="18"/>
              </w:rPr>
              <w:t>476</w:t>
            </w:r>
          </w:p>
        </w:tc>
        <w:tc>
          <w:tcPr>
            <w:tcW w:w="0" w:type="auto"/>
            <w:vAlign w:val="center"/>
            <w:hideMark/>
          </w:tcPr>
          <w:p w14:paraId="6C477B3E" w14:textId="6EDF4017" w:rsidR="007E6255" w:rsidRPr="007E6255" w:rsidRDefault="007E6255" w:rsidP="007E6255">
            <w:pPr>
              <w:jc w:val="center"/>
              <w:rPr>
                <w:sz w:val="18"/>
                <w:szCs w:val="18"/>
              </w:rPr>
            </w:pPr>
            <w:r w:rsidRPr="007E6255">
              <w:rPr>
                <w:b/>
                <w:bCs/>
                <w:sz w:val="18"/>
                <w:szCs w:val="18"/>
              </w:rPr>
              <w:t>471</w:t>
            </w:r>
            <w:r>
              <w:rPr>
                <w:b/>
                <w:bCs/>
                <w:sz w:val="18"/>
                <w:szCs w:val="18"/>
              </w:rPr>
              <w:t> </w:t>
            </w:r>
            <w:r w:rsidRPr="007E6255">
              <w:rPr>
                <w:b/>
                <w:bCs/>
                <w:sz w:val="18"/>
                <w:szCs w:val="18"/>
              </w:rPr>
              <w:t>987</w:t>
            </w:r>
            <w:r>
              <w:rPr>
                <w:b/>
                <w:bCs/>
                <w:sz w:val="18"/>
                <w:szCs w:val="18"/>
              </w:rPr>
              <w:t> </w:t>
            </w:r>
            <w:r w:rsidRPr="007E6255">
              <w:rPr>
                <w:b/>
                <w:bCs/>
                <w:sz w:val="18"/>
                <w:szCs w:val="18"/>
              </w:rPr>
              <w:t>517</w:t>
            </w:r>
          </w:p>
        </w:tc>
        <w:tc>
          <w:tcPr>
            <w:tcW w:w="0" w:type="auto"/>
            <w:vAlign w:val="center"/>
            <w:hideMark/>
          </w:tcPr>
          <w:p w14:paraId="0D4FF2FC" w14:textId="6D62B8EE" w:rsidR="007E6255" w:rsidRPr="007E6255" w:rsidRDefault="007E6255" w:rsidP="007E6255">
            <w:pPr>
              <w:jc w:val="center"/>
              <w:rPr>
                <w:sz w:val="18"/>
                <w:szCs w:val="18"/>
              </w:rPr>
            </w:pPr>
            <w:r w:rsidRPr="007E6255">
              <w:rPr>
                <w:b/>
                <w:bCs/>
                <w:sz w:val="18"/>
                <w:szCs w:val="18"/>
              </w:rPr>
              <w:t>516</w:t>
            </w:r>
            <w:r>
              <w:rPr>
                <w:b/>
                <w:bCs/>
                <w:sz w:val="18"/>
                <w:szCs w:val="18"/>
              </w:rPr>
              <w:t> </w:t>
            </w:r>
            <w:r w:rsidRPr="007E6255">
              <w:rPr>
                <w:b/>
                <w:bCs/>
                <w:sz w:val="18"/>
                <w:szCs w:val="18"/>
              </w:rPr>
              <w:t>949</w:t>
            </w:r>
            <w:r>
              <w:rPr>
                <w:b/>
                <w:bCs/>
                <w:sz w:val="18"/>
                <w:szCs w:val="18"/>
              </w:rPr>
              <w:t> </w:t>
            </w:r>
            <w:r w:rsidRPr="007E6255">
              <w:rPr>
                <w:b/>
                <w:bCs/>
                <w:sz w:val="18"/>
                <w:szCs w:val="18"/>
              </w:rPr>
              <w:t>562</w:t>
            </w:r>
          </w:p>
        </w:tc>
        <w:tc>
          <w:tcPr>
            <w:tcW w:w="0" w:type="auto"/>
            <w:vAlign w:val="center"/>
            <w:hideMark/>
          </w:tcPr>
          <w:p w14:paraId="4F2971F5" w14:textId="4A8D01FA" w:rsidR="007E6255" w:rsidRPr="007E6255" w:rsidRDefault="007E6255" w:rsidP="007E6255">
            <w:pPr>
              <w:jc w:val="center"/>
              <w:rPr>
                <w:sz w:val="18"/>
                <w:szCs w:val="18"/>
              </w:rPr>
            </w:pPr>
            <w:r w:rsidRPr="007E6255">
              <w:rPr>
                <w:b/>
                <w:bCs/>
                <w:sz w:val="18"/>
                <w:szCs w:val="18"/>
              </w:rPr>
              <w:t>607</w:t>
            </w:r>
            <w:r>
              <w:rPr>
                <w:b/>
                <w:bCs/>
                <w:sz w:val="18"/>
                <w:szCs w:val="18"/>
              </w:rPr>
              <w:t> </w:t>
            </w:r>
            <w:r w:rsidRPr="007E6255">
              <w:rPr>
                <w:b/>
                <w:bCs/>
                <w:sz w:val="18"/>
                <w:szCs w:val="18"/>
              </w:rPr>
              <w:t>585</w:t>
            </w:r>
            <w:r>
              <w:rPr>
                <w:b/>
                <w:bCs/>
                <w:sz w:val="18"/>
                <w:szCs w:val="18"/>
              </w:rPr>
              <w:t> </w:t>
            </w:r>
            <w:r w:rsidRPr="007E6255">
              <w:rPr>
                <w:b/>
                <w:bCs/>
                <w:sz w:val="18"/>
                <w:szCs w:val="18"/>
              </w:rPr>
              <w:t>845</w:t>
            </w:r>
          </w:p>
        </w:tc>
        <w:tc>
          <w:tcPr>
            <w:tcW w:w="0" w:type="auto"/>
            <w:vAlign w:val="center"/>
            <w:hideMark/>
          </w:tcPr>
          <w:p w14:paraId="040597A1" w14:textId="40C4E070" w:rsidR="007E6255" w:rsidRPr="007E6255" w:rsidRDefault="007E6255" w:rsidP="007E6255">
            <w:pPr>
              <w:jc w:val="center"/>
              <w:rPr>
                <w:sz w:val="18"/>
                <w:szCs w:val="18"/>
              </w:rPr>
            </w:pPr>
            <w:r w:rsidRPr="007E6255">
              <w:rPr>
                <w:b/>
                <w:bCs/>
                <w:sz w:val="18"/>
                <w:szCs w:val="18"/>
              </w:rPr>
              <w:t>667</w:t>
            </w:r>
            <w:r>
              <w:rPr>
                <w:b/>
                <w:bCs/>
                <w:sz w:val="18"/>
                <w:szCs w:val="18"/>
              </w:rPr>
              <w:t> </w:t>
            </w:r>
            <w:r w:rsidRPr="007E6255">
              <w:rPr>
                <w:b/>
                <w:bCs/>
                <w:sz w:val="18"/>
                <w:szCs w:val="18"/>
              </w:rPr>
              <w:t>450</w:t>
            </w:r>
            <w:r>
              <w:rPr>
                <w:b/>
                <w:bCs/>
                <w:sz w:val="18"/>
                <w:szCs w:val="18"/>
              </w:rPr>
              <w:t> </w:t>
            </w:r>
            <w:r w:rsidRPr="007E6255">
              <w:rPr>
                <w:b/>
                <w:bCs/>
                <w:sz w:val="18"/>
                <w:szCs w:val="18"/>
              </w:rPr>
              <w:t>946</w:t>
            </w:r>
          </w:p>
        </w:tc>
      </w:tr>
      <w:tr w:rsidR="007E6255" w:rsidRPr="007E6255" w14:paraId="430131F0" w14:textId="77777777" w:rsidTr="007E6255">
        <w:trPr>
          <w:trHeight w:val="406"/>
          <w:jc w:val="center"/>
        </w:trPr>
        <w:tc>
          <w:tcPr>
            <w:tcW w:w="0" w:type="auto"/>
            <w:vAlign w:val="center"/>
            <w:hideMark/>
          </w:tcPr>
          <w:p w14:paraId="5F199E8A" w14:textId="77777777" w:rsidR="007E6255" w:rsidRPr="007E6255" w:rsidRDefault="007E6255" w:rsidP="007E6255">
            <w:pPr>
              <w:jc w:val="center"/>
              <w:rPr>
                <w:sz w:val="18"/>
                <w:szCs w:val="18"/>
              </w:rPr>
            </w:pPr>
            <w:r w:rsidRPr="007E6255">
              <w:rPr>
                <w:b/>
                <w:bCs/>
                <w:sz w:val="18"/>
                <w:szCs w:val="18"/>
              </w:rPr>
              <w:t>Variation en %</w:t>
            </w:r>
          </w:p>
        </w:tc>
        <w:tc>
          <w:tcPr>
            <w:tcW w:w="0" w:type="auto"/>
            <w:vAlign w:val="center"/>
            <w:hideMark/>
          </w:tcPr>
          <w:p w14:paraId="74E40FFD" w14:textId="77777777" w:rsidR="007E6255" w:rsidRPr="007E6255" w:rsidRDefault="007E6255" w:rsidP="007E6255">
            <w:pPr>
              <w:jc w:val="center"/>
              <w:rPr>
                <w:sz w:val="18"/>
                <w:szCs w:val="18"/>
              </w:rPr>
            </w:pPr>
            <w:r w:rsidRPr="007E6255">
              <w:rPr>
                <w:sz w:val="18"/>
                <w:szCs w:val="18"/>
              </w:rPr>
              <w:t>-</w:t>
            </w:r>
          </w:p>
        </w:tc>
        <w:tc>
          <w:tcPr>
            <w:tcW w:w="0" w:type="auto"/>
            <w:vAlign w:val="center"/>
            <w:hideMark/>
          </w:tcPr>
          <w:p w14:paraId="6C46406A" w14:textId="77777777" w:rsidR="007E6255" w:rsidRPr="007E6255" w:rsidRDefault="007E6255" w:rsidP="007E6255">
            <w:pPr>
              <w:jc w:val="center"/>
              <w:rPr>
                <w:sz w:val="18"/>
                <w:szCs w:val="18"/>
              </w:rPr>
            </w:pPr>
            <w:r w:rsidRPr="007E6255">
              <w:rPr>
                <w:sz w:val="18"/>
                <w:szCs w:val="18"/>
              </w:rPr>
              <w:t>7,2%</w:t>
            </w:r>
          </w:p>
        </w:tc>
        <w:tc>
          <w:tcPr>
            <w:tcW w:w="0" w:type="auto"/>
            <w:vAlign w:val="center"/>
            <w:hideMark/>
          </w:tcPr>
          <w:p w14:paraId="5E2204BD" w14:textId="77777777" w:rsidR="007E6255" w:rsidRPr="007E6255" w:rsidRDefault="007E6255" w:rsidP="007E6255">
            <w:pPr>
              <w:jc w:val="center"/>
              <w:rPr>
                <w:sz w:val="18"/>
                <w:szCs w:val="18"/>
              </w:rPr>
            </w:pPr>
            <w:r w:rsidRPr="007E6255">
              <w:rPr>
                <w:sz w:val="18"/>
                <w:szCs w:val="18"/>
              </w:rPr>
              <w:t>9,5%</w:t>
            </w:r>
          </w:p>
        </w:tc>
        <w:tc>
          <w:tcPr>
            <w:tcW w:w="0" w:type="auto"/>
            <w:vAlign w:val="center"/>
            <w:hideMark/>
          </w:tcPr>
          <w:p w14:paraId="5A1CA598" w14:textId="77777777" w:rsidR="007E6255" w:rsidRPr="007E6255" w:rsidRDefault="007E6255" w:rsidP="007E6255">
            <w:pPr>
              <w:jc w:val="center"/>
              <w:rPr>
                <w:sz w:val="18"/>
                <w:szCs w:val="18"/>
              </w:rPr>
            </w:pPr>
            <w:r w:rsidRPr="007E6255">
              <w:rPr>
                <w:sz w:val="18"/>
                <w:szCs w:val="18"/>
              </w:rPr>
              <w:t>17,5%</w:t>
            </w:r>
          </w:p>
        </w:tc>
        <w:tc>
          <w:tcPr>
            <w:tcW w:w="0" w:type="auto"/>
            <w:vAlign w:val="center"/>
            <w:hideMark/>
          </w:tcPr>
          <w:p w14:paraId="18099761" w14:textId="77777777" w:rsidR="007E6255" w:rsidRPr="007E6255" w:rsidRDefault="007E6255" w:rsidP="007E6255">
            <w:pPr>
              <w:jc w:val="center"/>
              <w:rPr>
                <w:sz w:val="18"/>
                <w:szCs w:val="18"/>
              </w:rPr>
            </w:pPr>
            <w:r w:rsidRPr="007E6255">
              <w:rPr>
                <w:sz w:val="18"/>
                <w:szCs w:val="18"/>
              </w:rPr>
              <w:t>9,9%</w:t>
            </w:r>
          </w:p>
        </w:tc>
      </w:tr>
    </w:tbl>
    <w:p w14:paraId="6D6159CB" w14:textId="77777777" w:rsidR="007E6255" w:rsidRDefault="007E6255" w:rsidP="00207F6C"/>
    <w:p w14:paraId="19747947" w14:textId="77777777" w:rsidR="006839B4" w:rsidRDefault="002115F0" w:rsidP="008901A0">
      <w:r>
        <w:t xml:space="preserve">La participation financière étatique au titre des frais de fonctionnement et de personnel du secteur ASFT a progressé </w:t>
      </w:r>
      <w:r w:rsidR="007E6255">
        <w:t>de 440 millions d’euros à 667 millions d’euros, soit</w:t>
      </w:r>
      <w:r>
        <w:t xml:space="preserve"> 51,4%</w:t>
      </w:r>
      <w:r w:rsidR="007E6255">
        <w:t>,</w:t>
      </w:r>
      <w:r>
        <w:t xml:space="preserve"> entre 2016 et 2020. Le MENJE représente la part prépondérante de cette enveloppe (environ 70% en 2020). </w:t>
      </w:r>
    </w:p>
    <w:p w14:paraId="670261E8" w14:textId="77777777" w:rsidR="008901A0" w:rsidRDefault="008901A0" w:rsidP="00207F6C"/>
    <w:tbl>
      <w:tblPr>
        <w:tblStyle w:val="Grilledutableau"/>
        <w:tblW w:w="0" w:type="auto"/>
        <w:jc w:val="center"/>
        <w:tblLook w:val="04A0" w:firstRow="1" w:lastRow="0" w:firstColumn="1" w:lastColumn="0" w:noHBand="0" w:noVBand="1"/>
      </w:tblPr>
      <w:tblGrid>
        <w:gridCol w:w="1305"/>
        <w:gridCol w:w="1721"/>
        <w:gridCol w:w="3371"/>
      </w:tblGrid>
      <w:tr w:rsidR="006839B4" w:rsidRPr="006839B4" w14:paraId="38E0D8BA" w14:textId="77777777" w:rsidTr="006839B4">
        <w:trPr>
          <w:trHeight w:val="395"/>
          <w:jc w:val="center"/>
        </w:trPr>
        <w:tc>
          <w:tcPr>
            <w:tcW w:w="0" w:type="auto"/>
            <w:vMerge w:val="restart"/>
            <w:vAlign w:val="center"/>
            <w:hideMark/>
          </w:tcPr>
          <w:p w14:paraId="75621932" w14:textId="77777777" w:rsidR="006839B4" w:rsidRPr="006839B4" w:rsidRDefault="006839B4" w:rsidP="006839B4">
            <w:pPr>
              <w:spacing w:line="276" w:lineRule="auto"/>
              <w:jc w:val="center"/>
            </w:pPr>
            <w:r w:rsidRPr="006839B4">
              <w:rPr>
                <w:b/>
                <w:bCs/>
              </w:rPr>
              <w:t>Ministères</w:t>
            </w:r>
          </w:p>
        </w:tc>
        <w:tc>
          <w:tcPr>
            <w:tcW w:w="0" w:type="auto"/>
            <w:gridSpan w:val="2"/>
            <w:vAlign w:val="center"/>
            <w:hideMark/>
          </w:tcPr>
          <w:p w14:paraId="4F6D8DAC" w14:textId="77777777" w:rsidR="006839B4" w:rsidRPr="006839B4" w:rsidRDefault="006839B4" w:rsidP="006839B4">
            <w:pPr>
              <w:spacing w:line="276" w:lineRule="auto"/>
              <w:jc w:val="center"/>
            </w:pPr>
            <w:r w:rsidRPr="006839B4">
              <w:rPr>
                <w:b/>
                <w:bCs/>
              </w:rPr>
              <w:t>Effectifs au 31.12.2022</w:t>
            </w:r>
          </w:p>
        </w:tc>
      </w:tr>
      <w:tr w:rsidR="006839B4" w:rsidRPr="006839B4" w14:paraId="6E2F6581" w14:textId="77777777" w:rsidTr="006839B4">
        <w:trPr>
          <w:trHeight w:val="428"/>
          <w:jc w:val="center"/>
        </w:trPr>
        <w:tc>
          <w:tcPr>
            <w:tcW w:w="0" w:type="auto"/>
            <w:vMerge/>
            <w:vAlign w:val="center"/>
            <w:hideMark/>
          </w:tcPr>
          <w:p w14:paraId="24E717DC" w14:textId="77777777" w:rsidR="006839B4" w:rsidRPr="006839B4" w:rsidRDefault="006839B4" w:rsidP="006839B4">
            <w:pPr>
              <w:spacing w:line="276" w:lineRule="auto"/>
              <w:jc w:val="center"/>
            </w:pPr>
          </w:p>
        </w:tc>
        <w:tc>
          <w:tcPr>
            <w:tcW w:w="0" w:type="auto"/>
            <w:vAlign w:val="center"/>
            <w:hideMark/>
          </w:tcPr>
          <w:p w14:paraId="508B26EA" w14:textId="77777777" w:rsidR="006839B4" w:rsidRPr="006839B4" w:rsidRDefault="006839B4" w:rsidP="006839B4">
            <w:pPr>
              <w:spacing w:line="276" w:lineRule="auto"/>
              <w:jc w:val="center"/>
            </w:pPr>
            <w:r w:rsidRPr="006839B4">
              <w:t>En nombre réel</w:t>
            </w:r>
          </w:p>
        </w:tc>
        <w:tc>
          <w:tcPr>
            <w:tcW w:w="0" w:type="auto"/>
            <w:vAlign w:val="center"/>
            <w:hideMark/>
          </w:tcPr>
          <w:p w14:paraId="0560D09A" w14:textId="77777777" w:rsidR="006839B4" w:rsidRPr="006839B4" w:rsidRDefault="006839B4" w:rsidP="006839B4">
            <w:pPr>
              <w:spacing w:line="276" w:lineRule="auto"/>
              <w:jc w:val="center"/>
            </w:pPr>
            <w:r w:rsidRPr="006839B4">
              <w:t>En équivalent temps plein (ETP)</w:t>
            </w:r>
          </w:p>
        </w:tc>
      </w:tr>
      <w:tr w:rsidR="006839B4" w:rsidRPr="006839B4" w14:paraId="1F521F06" w14:textId="77777777" w:rsidTr="006839B4">
        <w:trPr>
          <w:trHeight w:val="407"/>
          <w:jc w:val="center"/>
        </w:trPr>
        <w:tc>
          <w:tcPr>
            <w:tcW w:w="0" w:type="auto"/>
            <w:vAlign w:val="center"/>
            <w:hideMark/>
          </w:tcPr>
          <w:p w14:paraId="2B560398" w14:textId="77777777" w:rsidR="006839B4" w:rsidRPr="006839B4" w:rsidRDefault="006839B4" w:rsidP="006839B4">
            <w:pPr>
              <w:spacing w:line="276" w:lineRule="auto"/>
              <w:jc w:val="center"/>
            </w:pPr>
            <w:r w:rsidRPr="006839B4">
              <w:rPr>
                <w:b/>
                <w:bCs/>
              </w:rPr>
              <w:t>MENJE</w:t>
            </w:r>
          </w:p>
        </w:tc>
        <w:tc>
          <w:tcPr>
            <w:tcW w:w="0" w:type="auto"/>
            <w:vAlign w:val="center"/>
            <w:hideMark/>
          </w:tcPr>
          <w:p w14:paraId="1DD4B045" w14:textId="37E2A58B" w:rsidR="006839B4" w:rsidRPr="006839B4" w:rsidRDefault="006839B4" w:rsidP="006839B4">
            <w:pPr>
              <w:spacing w:line="276" w:lineRule="auto"/>
              <w:jc w:val="center"/>
            </w:pPr>
            <w:r w:rsidRPr="006839B4">
              <w:t>12</w:t>
            </w:r>
            <w:r>
              <w:t> </w:t>
            </w:r>
            <w:r w:rsidRPr="006839B4">
              <w:t>991</w:t>
            </w:r>
          </w:p>
        </w:tc>
        <w:tc>
          <w:tcPr>
            <w:tcW w:w="0" w:type="auto"/>
            <w:vAlign w:val="center"/>
            <w:hideMark/>
          </w:tcPr>
          <w:p w14:paraId="037AF693" w14:textId="3C53CEC0" w:rsidR="006839B4" w:rsidRPr="006839B4" w:rsidRDefault="006839B4" w:rsidP="006839B4">
            <w:pPr>
              <w:spacing w:line="276" w:lineRule="auto"/>
              <w:jc w:val="center"/>
            </w:pPr>
            <w:r w:rsidRPr="006839B4">
              <w:t>7</w:t>
            </w:r>
            <w:r>
              <w:t> </w:t>
            </w:r>
            <w:r w:rsidRPr="006839B4">
              <w:t>015,33</w:t>
            </w:r>
          </w:p>
        </w:tc>
      </w:tr>
      <w:tr w:rsidR="006839B4" w:rsidRPr="006839B4" w14:paraId="7E8221A5" w14:textId="77777777" w:rsidTr="006839B4">
        <w:trPr>
          <w:trHeight w:val="413"/>
          <w:jc w:val="center"/>
        </w:trPr>
        <w:tc>
          <w:tcPr>
            <w:tcW w:w="0" w:type="auto"/>
            <w:vAlign w:val="center"/>
            <w:hideMark/>
          </w:tcPr>
          <w:p w14:paraId="2C7CF6CF" w14:textId="77777777" w:rsidR="006839B4" w:rsidRPr="006839B4" w:rsidRDefault="006839B4" w:rsidP="006839B4">
            <w:pPr>
              <w:spacing w:line="276" w:lineRule="auto"/>
              <w:jc w:val="center"/>
            </w:pPr>
            <w:r w:rsidRPr="006839B4">
              <w:rPr>
                <w:b/>
                <w:bCs/>
                <w:lang w:val="fr-LU"/>
              </w:rPr>
              <w:t>MIFA</w:t>
            </w:r>
          </w:p>
        </w:tc>
        <w:tc>
          <w:tcPr>
            <w:tcW w:w="0" w:type="auto"/>
            <w:vAlign w:val="center"/>
            <w:hideMark/>
          </w:tcPr>
          <w:p w14:paraId="51151D91" w14:textId="45675DFE" w:rsidR="006839B4" w:rsidRPr="006839B4" w:rsidRDefault="006839B4" w:rsidP="006839B4">
            <w:pPr>
              <w:spacing w:line="276" w:lineRule="auto"/>
              <w:jc w:val="center"/>
            </w:pPr>
            <w:r w:rsidRPr="006839B4">
              <w:t>1</w:t>
            </w:r>
            <w:r>
              <w:t> </w:t>
            </w:r>
            <w:r w:rsidRPr="006839B4">
              <w:t>233</w:t>
            </w:r>
          </w:p>
        </w:tc>
        <w:tc>
          <w:tcPr>
            <w:tcW w:w="0" w:type="auto"/>
            <w:vAlign w:val="center"/>
            <w:hideMark/>
          </w:tcPr>
          <w:p w14:paraId="321C309F" w14:textId="77777777" w:rsidR="006839B4" w:rsidRPr="006839B4" w:rsidRDefault="006839B4" w:rsidP="006839B4">
            <w:pPr>
              <w:spacing w:line="276" w:lineRule="auto"/>
              <w:jc w:val="center"/>
            </w:pPr>
            <w:r w:rsidRPr="006839B4">
              <w:t>727,10</w:t>
            </w:r>
          </w:p>
        </w:tc>
      </w:tr>
      <w:tr w:rsidR="006839B4" w:rsidRPr="006839B4" w14:paraId="18A4DD5A" w14:textId="77777777" w:rsidTr="006839B4">
        <w:trPr>
          <w:trHeight w:val="419"/>
          <w:jc w:val="center"/>
        </w:trPr>
        <w:tc>
          <w:tcPr>
            <w:tcW w:w="0" w:type="auto"/>
            <w:vAlign w:val="center"/>
            <w:hideMark/>
          </w:tcPr>
          <w:p w14:paraId="6151A7A2" w14:textId="7FC4B1D0" w:rsidR="006839B4" w:rsidRPr="006839B4" w:rsidRDefault="006839B4" w:rsidP="006839B4">
            <w:pPr>
              <w:spacing w:line="276" w:lineRule="auto"/>
              <w:jc w:val="center"/>
            </w:pPr>
            <w:r w:rsidRPr="006839B4">
              <w:rPr>
                <w:b/>
                <w:bCs/>
              </w:rPr>
              <w:t>MISA</w:t>
            </w:r>
          </w:p>
        </w:tc>
        <w:tc>
          <w:tcPr>
            <w:tcW w:w="0" w:type="auto"/>
            <w:vAlign w:val="center"/>
            <w:hideMark/>
          </w:tcPr>
          <w:p w14:paraId="1498D2E3" w14:textId="77777777" w:rsidR="006839B4" w:rsidRPr="006839B4" w:rsidRDefault="006839B4" w:rsidP="006839B4">
            <w:pPr>
              <w:spacing w:line="276" w:lineRule="auto"/>
              <w:jc w:val="center"/>
            </w:pPr>
            <w:r w:rsidRPr="006839B4">
              <w:t>769</w:t>
            </w:r>
          </w:p>
        </w:tc>
        <w:tc>
          <w:tcPr>
            <w:tcW w:w="0" w:type="auto"/>
            <w:vAlign w:val="center"/>
            <w:hideMark/>
          </w:tcPr>
          <w:p w14:paraId="45DF0A8F" w14:textId="77777777" w:rsidR="006839B4" w:rsidRPr="006839B4" w:rsidRDefault="006839B4" w:rsidP="006839B4">
            <w:pPr>
              <w:spacing w:line="276" w:lineRule="auto"/>
              <w:jc w:val="center"/>
            </w:pPr>
            <w:r w:rsidRPr="006839B4">
              <w:t>534,85</w:t>
            </w:r>
          </w:p>
        </w:tc>
      </w:tr>
      <w:tr w:rsidR="006839B4" w:rsidRPr="006839B4" w14:paraId="5AFBCB5B" w14:textId="77777777" w:rsidTr="006839B4">
        <w:trPr>
          <w:trHeight w:val="424"/>
          <w:jc w:val="center"/>
        </w:trPr>
        <w:tc>
          <w:tcPr>
            <w:tcW w:w="0" w:type="auto"/>
            <w:vAlign w:val="center"/>
            <w:hideMark/>
          </w:tcPr>
          <w:p w14:paraId="07CC9187" w14:textId="37E66E5A" w:rsidR="006839B4" w:rsidRPr="006839B4" w:rsidRDefault="006839B4" w:rsidP="006839B4">
            <w:pPr>
              <w:spacing w:line="276" w:lineRule="auto"/>
              <w:jc w:val="center"/>
            </w:pPr>
            <w:r w:rsidRPr="006839B4">
              <w:rPr>
                <w:b/>
                <w:bCs/>
                <w:lang w:val="fr-LU"/>
              </w:rPr>
              <w:t>MEGA</w:t>
            </w:r>
          </w:p>
        </w:tc>
        <w:tc>
          <w:tcPr>
            <w:tcW w:w="0" w:type="auto"/>
            <w:vAlign w:val="center"/>
            <w:hideMark/>
          </w:tcPr>
          <w:p w14:paraId="4DF794A0" w14:textId="77777777" w:rsidR="006839B4" w:rsidRPr="006839B4" w:rsidRDefault="006839B4" w:rsidP="006839B4">
            <w:pPr>
              <w:spacing w:line="276" w:lineRule="auto"/>
              <w:jc w:val="center"/>
            </w:pPr>
            <w:r w:rsidRPr="006839B4">
              <w:t>202</w:t>
            </w:r>
          </w:p>
        </w:tc>
        <w:tc>
          <w:tcPr>
            <w:tcW w:w="0" w:type="auto"/>
            <w:vAlign w:val="center"/>
            <w:hideMark/>
          </w:tcPr>
          <w:p w14:paraId="2E0D9AE3" w14:textId="77777777" w:rsidR="006839B4" w:rsidRPr="006839B4" w:rsidRDefault="006839B4" w:rsidP="006839B4">
            <w:pPr>
              <w:spacing w:line="276" w:lineRule="auto"/>
              <w:jc w:val="center"/>
            </w:pPr>
            <w:r w:rsidRPr="006839B4">
              <w:t>137,50</w:t>
            </w:r>
          </w:p>
        </w:tc>
      </w:tr>
    </w:tbl>
    <w:p w14:paraId="2A356563" w14:textId="77777777" w:rsidR="006839B4" w:rsidRDefault="006839B4" w:rsidP="00207F6C"/>
    <w:p w14:paraId="4A498125" w14:textId="07AB6EAB" w:rsidR="002115F0" w:rsidRDefault="002115F0" w:rsidP="00207F6C">
      <w:r>
        <w:t xml:space="preserve">Au 31 décembre 2022, près de 15 200 personnes travaillaient dans les organismes conventionnés (en nombre réel), dont plus de 12 990 relevant du MENJE. </w:t>
      </w:r>
    </w:p>
    <w:p w14:paraId="53B5FC1E" w14:textId="7ED5CEF5" w:rsidR="00794F4D" w:rsidRDefault="00794F4D" w:rsidP="00207F6C"/>
    <w:p w14:paraId="7F3234F3" w14:textId="1E8F0676" w:rsidR="00794F4D" w:rsidRDefault="00794F4D" w:rsidP="008901A0">
      <w:pPr>
        <w:rPr>
          <w:b/>
          <w:bCs/>
        </w:rPr>
      </w:pPr>
      <w:r>
        <w:rPr>
          <w:b/>
          <w:bCs/>
        </w:rPr>
        <w:t>6. Précisions sur l’échantillon de contrôle</w:t>
      </w:r>
    </w:p>
    <w:p w14:paraId="7313BAFD" w14:textId="77777777" w:rsidR="008901A0" w:rsidRDefault="008901A0" w:rsidP="00207F6C">
      <w:pPr>
        <w:rPr>
          <w:b/>
          <w:bCs/>
        </w:rPr>
      </w:pPr>
    </w:p>
    <w:p w14:paraId="1CD51E39" w14:textId="0B335341" w:rsidR="00794F4D" w:rsidRDefault="00794F4D" w:rsidP="008901A0">
      <w:r>
        <w:t>L’échantillon</w:t>
      </w:r>
      <w:r w:rsidR="00C706D5">
        <w:t xml:space="preserve"> de contrôle</w:t>
      </w:r>
      <w:r>
        <w:t xml:space="preserve"> a été sélectionné par la Cour sur base d’un certain nombre de critères, à savoir : </w:t>
      </w:r>
    </w:p>
    <w:p w14:paraId="7B2EFBBB" w14:textId="77777777" w:rsidR="008901A0" w:rsidRDefault="008901A0" w:rsidP="00207F6C"/>
    <w:p w14:paraId="1B645A34" w14:textId="13E50872" w:rsidR="00794F4D" w:rsidRPr="00794F4D" w:rsidRDefault="00794F4D" w:rsidP="00207F6C">
      <w:pPr>
        <w:pStyle w:val="Paragraphedeliste"/>
        <w:numPr>
          <w:ilvl w:val="0"/>
          <w:numId w:val="10"/>
        </w:numPr>
        <w:ind w:left="284" w:hanging="284"/>
      </w:pPr>
      <w:r w:rsidRPr="00794F4D">
        <w:t>une convention au moins par département ministériel</w:t>
      </w:r>
      <w:r w:rsidR="00CF74BF">
        <w:t> </w:t>
      </w:r>
      <w:r w:rsidRPr="00794F4D">
        <w:t xml:space="preserve">; </w:t>
      </w:r>
    </w:p>
    <w:p w14:paraId="73E53E3A" w14:textId="5481C33F" w:rsidR="00794F4D" w:rsidRPr="00794F4D" w:rsidRDefault="00794F4D" w:rsidP="00207F6C">
      <w:pPr>
        <w:pStyle w:val="Paragraphedeliste"/>
        <w:numPr>
          <w:ilvl w:val="0"/>
          <w:numId w:val="10"/>
        </w:numPr>
        <w:ind w:left="284" w:hanging="284"/>
      </w:pPr>
      <w:r w:rsidRPr="00794F4D">
        <w:t>des conventions conclues avec des gestionnaires actifs auprès de plusieurs ministères et/ou départements ministériels</w:t>
      </w:r>
      <w:r w:rsidR="00CF74BF">
        <w:t> </w:t>
      </w:r>
      <w:r w:rsidRPr="00794F4D">
        <w:t>;</w:t>
      </w:r>
    </w:p>
    <w:p w14:paraId="3C911FE5" w14:textId="10A716C0" w:rsidR="00794F4D" w:rsidRPr="00794F4D" w:rsidRDefault="00794F4D" w:rsidP="00207F6C">
      <w:pPr>
        <w:pStyle w:val="Paragraphedeliste"/>
        <w:numPr>
          <w:ilvl w:val="0"/>
          <w:numId w:val="10"/>
        </w:numPr>
        <w:ind w:left="284" w:hanging="284"/>
      </w:pPr>
      <w:r w:rsidRPr="00794F4D">
        <w:t>les différents statuts juridiques des organismes bénéficiaires</w:t>
      </w:r>
      <w:r w:rsidR="00F31D65">
        <w:t> </w:t>
      </w:r>
      <w:r w:rsidRPr="00794F4D">
        <w:t>;</w:t>
      </w:r>
    </w:p>
    <w:p w14:paraId="26817287" w14:textId="0475EE7D" w:rsidR="00794F4D" w:rsidRPr="00794F4D" w:rsidRDefault="00794F4D" w:rsidP="00207F6C">
      <w:pPr>
        <w:pStyle w:val="Paragraphedeliste"/>
        <w:numPr>
          <w:ilvl w:val="0"/>
          <w:numId w:val="10"/>
        </w:numPr>
        <w:ind w:left="284" w:hanging="284"/>
      </w:pPr>
      <w:r w:rsidRPr="00794F4D">
        <w:t xml:space="preserve">les différents modes de financement appliqués dans le cadre de la </w:t>
      </w:r>
      <w:r w:rsidR="00907336">
        <w:t>Loi</w:t>
      </w:r>
      <w:r w:rsidRPr="00794F4D">
        <w:t xml:space="preserve"> ASFT, à savoir :</w:t>
      </w:r>
    </w:p>
    <w:p w14:paraId="4F1372D1" w14:textId="571E4FB6" w:rsidR="00794F4D" w:rsidRPr="00794F4D" w:rsidRDefault="00794F4D" w:rsidP="00207F6C">
      <w:pPr>
        <w:pStyle w:val="Paragraphedeliste"/>
        <w:numPr>
          <w:ilvl w:val="1"/>
          <w:numId w:val="10"/>
        </w:numPr>
        <w:ind w:left="284" w:firstLine="0"/>
      </w:pPr>
      <w:r w:rsidRPr="00794F4D">
        <w:t xml:space="preserve">la participation financière par couverture du déficit, </w:t>
      </w:r>
    </w:p>
    <w:p w14:paraId="3828AA98" w14:textId="77777777" w:rsidR="00794F4D" w:rsidRPr="00794F4D" w:rsidRDefault="00794F4D" w:rsidP="00207F6C">
      <w:pPr>
        <w:pStyle w:val="Paragraphedeliste"/>
        <w:numPr>
          <w:ilvl w:val="1"/>
          <w:numId w:val="10"/>
        </w:numPr>
        <w:ind w:left="284" w:firstLine="0"/>
      </w:pPr>
      <w:r w:rsidRPr="00794F4D">
        <w:t xml:space="preserve">la participation financière par unité de prestation, </w:t>
      </w:r>
    </w:p>
    <w:p w14:paraId="0B256DED" w14:textId="77777777" w:rsidR="00794F4D" w:rsidRPr="00794F4D" w:rsidRDefault="00794F4D" w:rsidP="00207F6C">
      <w:pPr>
        <w:pStyle w:val="Paragraphedeliste"/>
        <w:numPr>
          <w:ilvl w:val="1"/>
          <w:numId w:val="10"/>
        </w:numPr>
        <w:ind w:left="284" w:firstLine="0"/>
      </w:pPr>
      <w:r w:rsidRPr="00794F4D">
        <w:t>la participation financière forfaitaire ou par projet,</w:t>
      </w:r>
    </w:p>
    <w:p w14:paraId="35F6D55F" w14:textId="77777777" w:rsidR="00794F4D" w:rsidRPr="00794F4D" w:rsidRDefault="00794F4D" w:rsidP="00207F6C">
      <w:pPr>
        <w:pStyle w:val="Paragraphedeliste"/>
        <w:numPr>
          <w:ilvl w:val="1"/>
          <w:numId w:val="10"/>
        </w:numPr>
        <w:ind w:left="284" w:firstLine="0"/>
      </w:pPr>
      <w:r w:rsidRPr="00794F4D">
        <w:t>la participation financière mixte.</w:t>
      </w:r>
    </w:p>
    <w:p w14:paraId="15B32C73" w14:textId="77777777" w:rsidR="008901A0" w:rsidRDefault="008901A0" w:rsidP="00207F6C">
      <w:pPr>
        <w:ind w:left="284" w:hanging="284"/>
      </w:pPr>
    </w:p>
    <w:p w14:paraId="795F63DE" w14:textId="5A089118" w:rsidR="00794F4D" w:rsidRDefault="00794F4D" w:rsidP="00207F6C">
      <w:pPr>
        <w:pStyle w:val="Paragraphedeliste"/>
        <w:numPr>
          <w:ilvl w:val="0"/>
          <w:numId w:val="10"/>
        </w:numPr>
        <w:ind w:left="284" w:hanging="284"/>
      </w:pPr>
      <w:r w:rsidRPr="00794F4D">
        <w:t>des conventions à impact financier faible, moyen et important.</w:t>
      </w:r>
    </w:p>
    <w:p w14:paraId="1A84DE00" w14:textId="77777777" w:rsidR="009F2560" w:rsidRDefault="009F2560" w:rsidP="009F2560">
      <w:pPr>
        <w:ind w:left="284" w:hanging="284"/>
      </w:pPr>
    </w:p>
    <w:p w14:paraId="06DD8AF1" w14:textId="3E3536D2" w:rsidR="00794F4D" w:rsidRDefault="00794F4D" w:rsidP="00207F6C">
      <w:r>
        <w:t>Il y a lieu, par ailleurs, de noter que l</w:t>
      </w:r>
      <w:r w:rsidRPr="00794F4D">
        <w:t>’échantillon de contrôle</w:t>
      </w:r>
      <w:r>
        <w:t xml:space="preserve"> de la Cour se limite à</w:t>
      </w:r>
      <w:r w:rsidRPr="00794F4D">
        <w:t xml:space="preserve"> l’exercice 2019,</w:t>
      </w:r>
      <w:r>
        <w:t xml:space="preserve"> car il représente le</w:t>
      </w:r>
      <w:r w:rsidRPr="00794F4D">
        <w:t xml:space="preserve"> dernier exercice budgétaire complet antérieur à la crise sanitaire</w:t>
      </w:r>
      <w:r>
        <w:t xml:space="preserve">. </w:t>
      </w:r>
    </w:p>
    <w:p w14:paraId="55F72F47" w14:textId="77777777" w:rsidR="00794F4D" w:rsidRDefault="00794F4D" w:rsidP="00207F6C">
      <w:pPr>
        <w:ind w:left="284" w:hanging="284"/>
      </w:pPr>
    </w:p>
    <w:p w14:paraId="66F5D427" w14:textId="77777777" w:rsidR="00301148" w:rsidRDefault="00794F4D" w:rsidP="008901A0">
      <w:pPr>
        <w:rPr>
          <w:b/>
          <w:bCs/>
        </w:rPr>
      </w:pPr>
      <w:r>
        <w:rPr>
          <w:b/>
          <w:bCs/>
        </w:rPr>
        <w:t>7</w:t>
      </w:r>
      <w:r w:rsidR="002115F0">
        <w:rPr>
          <w:b/>
          <w:bCs/>
        </w:rPr>
        <w:t xml:space="preserve">. </w:t>
      </w:r>
      <w:r w:rsidR="00301148">
        <w:rPr>
          <w:b/>
          <w:bCs/>
        </w:rPr>
        <w:t>Agrément</w:t>
      </w:r>
    </w:p>
    <w:p w14:paraId="1C9D41C3" w14:textId="77777777" w:rsidR="008901A0" w:rsidRDefault="008901A0" w:rsidP="00207F6C">
      <w:pPr>
        <w:rPr>
          <w:b/>
          <w:bCs/>
        </w:rPr>
      </w:pPr>
    </w:p>
    <w:p w14:paraId="5A95DAB7" w14:textId="5DEB8051" w:rsidR="008901A0" w:rsidRPr="00207F6C" w:rsidRDefault="00FD0A34" w:rsidP="00207F6C">
      <w:pPr>
        <w:pStyle w:val="Paragraphedeliste"/>
        <w:ind w:hanging="720"/>
        <w:rPr>
          <w:b/>
          <w:bCs/>
          <w:i/>
          <w:iCs/>
        </w:rPr>
      </w:pPr>
      <w:r>
        <w:rPr>
          <w:b/>
          <w:bCs/>
          <w:i/>
          <w:iCs/>
        </w:rPr>
        <w:t xml:space="preserve">a. </w:t>
      </w:r>
      <w:r w:rsidR="002115F0" w:rsidRPr="00207F6C">
        <w:rPr>
          <w:b/>
          <w:bCs/>
          <w:i/>
          <w:iCs/>
        </w:rPr>
        <w:t xml:space="preserve">Constatations et recommandations </w:t>
      </w:r>
      <w:r w:rsidR="00411081" w:rsidRPr="00207F6C">
        <w:rPr>
          <w:b/>
          <w:bCs/>
          <w:i/>
          <w:iCs/>
        </w:rPr>
        <w:t>d’ordre général</w:t>
      </w:r>
    </w:p>
    <w:p w14:paraId="5A27C9C3" w14:textId="5DFD543F" w:rsidR="00411081" w:rsidRPr="00207F6C" w:rsidRDefault="00411081" w:rsidP="00207F6C">
      <w:pPr>
        <w:pStyle w:val="Paragraphedeliste"/>
        <w:rPr>
          <w:b/>
          <w:bCs/>
          <w:i/>
          <w:iCs/>
        </w:rPr>
      </w:pPr>
      <w:r w:rsidRPr="00207F6C">
        <w:rPr>
          <w:b/>
          <w:bCs/>
          <w:i/>
          <w:iCs/>
        </w:rPr>
        <w:t xml:space="preserve"> </w:t>
      </w:r>
    </w:p>
    <w:p w14:paraId="016FE493" w14:textId="45B8325E" w:rsidR="002115F0" w:rsidRPr="00411081" w:rsidRDefault="00F31D65" w:rsidP="00207F6C">
      <w:pPr>
        <w:pStyle w:val="Paragraphedeliste"/>
        <w:numPr>
          <w:ilvl w:val="0"/>
          <w:numId w:val="10"/>
        </w:numPr>
        <w:ind w:left="284" w:hanging="284"/>
        <w:rPr>
          <w:i/>
          <w:iCs/>
        </w:rPr>
      </w:pPr>
      <w:r w:rsidRPr="00411081">
        <w:rPr>
          <w:i/>
          <w:iCs/>
        </w:rPr>
        <w:t xml:space="preserve">Constatations d’ordre général relatives </w:t>
      </w:r>
      <w:r w:rsidR="00BA14BE" w:rsidRPr="00411081">
        <w:rPr>
          <w:i/>
          <w:iCs/>
        </w:rPr>
        <w:t>aux</w:t>
      </w:r>
      <w:r w:rsidRPr="00411081">
        <w:rPr>
          <w:i/>
          <w:iCs/>
        </w:rPr>
        <w:t xml:space="preserve"> agrément</w:t>
      </w:r>
      <w:r w:rsidR="00BA14BE" w:rsidRPr="00411081">
        <w:rPr>
          <w:i/>
          <w:iCs/>
        </w:rPr>
        <w:t>s conditionnés à durée limitée</w:t>
      </w:r>
    </w:p>
    <w:p w14:paraId="6385B18A" w14:textId="77777777" w:rsidR="008901A0" w:rsidRDefault="008901A0" w:rsidP="008901A0"/>
    <w:p w14:paraId="5C70BBEC" w14:textId="1438D666" w:rsidR="0027321D" w:rsidRDefault="00F31D65" w:rsidP="00207F6C">
      <w:r>
        <w:t>La Cour constate qu</w:t>
      </w:r>
      <w:r w:rsidR="001352E3">
        <w:t>’en cas</w:t>
      </w:r>
      <w:r>
        <w:t xml:space="preserve"> de dossiers incomplets, </w:t>
      </w:r>
      <w:r w:rsidR="001352E3">
        <w:t>certains</w:t>
      </w:r>
      <w:r>
        <w:t xml:space="preserve"> ministères délivrent des </w:t>
      </w:r>
      <w:r w:rsidR="002115F0">
        <w:t>agréments conditionnés ou à durée limitée, alors que les dispositions légales et réglementaires ne le prévoient pas expressément. La Cour a relevé des cas où des agréments conditionnés ont été reconduits à de nombreuses reprises en raison de pièces manquantes</w:t>
      </w:r>
      <w:r w:rsidR="0027321D">
        <w:t xml:space="preserve"> ou d’infrastructures non conformes</w:t>
      </w:r>
      <w:r w:rsidR="002115F0">
        <w:t>. À titre d</w:t>
      </w:r>
      <w:r w:rsidR="00931A59">
        <w:t>’</w:t>
      </w:r>
      <w:r w:rsidR="002115F0">
        <w:t xml:space="preserve">illustration, </w:t>
      </w:r>
      <w:r w:rsidR="0027321D">
        <w:t xml:space="preserve">le Vice-président cite la situation où </w:t>
      </w:r>
      <w:r w:rsidR="002115F0">
        <w:t>un gestionnaire a obtenu dix-neuf agréments conditionnés</w:t>
      </w:r>
      <w:r w:rsidR="001352E3" w:rsidRPr="001352E3">
        <w:t xml:space="preserve"> </w:t>
      </w:r>
      <w:r w:rsidR="001352E3">
        <w:t>successifs entre 2007 et 2020</w:t>
      </w:r>
      <w:r w:rsidR="002115F0">
        <w:t xml:space="preserve"> </w:t>
      </w:r>
      <w:r w:rsidR="001352E3">
        <w:t xml:space="preserve">par la division « Personnes handicapées » du MIFA </w:t>
      </w:r>
      <w:r w:rsidR="0027321D">
        <w:t>pour une activité d’hébergement</w:t>
      </w:r>
      <w:r w:rsidR="002115F0">
        <w:t xml:space="preserve">, avant </w:t>
      </w:r>
      <w:r w:rsidR="0027321D">
        <w:t>que sa situation ait été finalement régularisée en</w:t>
      </w:r>
      <w:r w:rsidR="002115F0">
        <w:t xml:space="preserve"> 2024. </w:t>
      </w:r>
    </w:p>
    <w:p w14:paraId="50997DC3" w14:textId="77777777" w:rsidR="008901A0" w:rsidRDefault="008901A0" w:rsidP="008901A0"/>
    <w:p w14:paraId="344C8A60" w14:textId="3567223E" w:rsidR="00BA14BE" w:rsidRDefault="0027321D" w:rsidP="00207F6C">
      <w:r>
        <w:t>Au vu de ce qui précède, l</w:t>
      </w:r>
      <w:r w:rsidR="002115F0">
        <w:t xml:space="preserve">a Cour recommande de procéder à une actualisation des dispositions légales et/ou réglementaires afin de donner une base juridique explicite à </w:t>
      </w:r>
      <w:r w:rsidR="001352E3">
        <w:t>la pratique d’agréments conditionnés</w:t>
      </w:r>
      <w:r w:rsidR="002115F0">
        <w:t xml:space="preserve"> et d</w:t>
      </w:r>
      <w:r w:rsidR="00931A59">
        <w:t>’</w:t>
      </w:r>
      <w:r w:rsidR="002115F0">
        <w:t>en encadrer les modalités.</w:t>
      </w:r>
    </w:p>
    <w:p w14:paraId="69C115FC" w14:textId="77777777" w:rsidR="008901A0" w:rsidRPr="00207F6C" w:rsidRDefault="008901A0" w:rsidP="00207F6C">
      <w:pPr>
        <w:rPr>
          <w:i/>
          <w:iCs/>
        </w:rPr>
      </w:pPr>
    </w:p>
    <w:p w14:paraId="601A4FA2" w14:textId="49B96E16" w:rsidR="00BA14BE" w:rsidRPr="00BA14BE" w:rsidRDefault="00BA14BE" w:rsidP="00207F6C">
      <w:pPr>
        <w:pStyle w:val="Paragraphedeliste"/>
        <w:numPr>
          <w:ilvl w:val="0"/>
          <w:numId w:val="11"/>
        </w:numPr>
        <w:ind w:left="284" w:hanging="284"/>
        <w:rPr>
          <w:i/>
          <w:iCs/>
        </w:rPr>
      </w:pPr>
      <w:r w:rsidRPr="00BA14BE">
        <w:rPr>
          <w:i/>
          <w:iCs/>
        </w:rPr>
        <w:t xml:space="preserve">Constatations d’ordre général relatives aux </w:t>
      </w:r>
      <w:r>
        <w:rPr>
          <w:i/>
          <w:iCs/>
        </w:rPr>
        <w:t>missions de surveillance et de contrôle</w:t>
      </w:r>
    </w:p>
    <w:p w14:paraId="6C5F31B4" w14:textId="77777777" w:rsidR="008901A0" w:rsidRDefault="008901A0" w:rsidP="008901A0"/>
    <w:p w14:paraId="032DBBA1" w14:textId="45190846" w:rsidR="00BA14BE" w:rsidRDefault="00BA14BE" w:rsidP="00207F6C">
      <w:r>
        <w:t>La</w:t>
      </w:r>
      <w:r w:rsidR="002115F0">
        <w:t xml:space="preserve"> Cour constate que la majorité des agents en charge du contrôle </w:t>
      </w:r>
      <w:r>
        <w:t>et de surveillance</w:t>
      </w:r>
      <w:r w:rsidR="002115F0">
        <w:t xml:space="preserve"> ne disposent pas de la qualité d</w:t>
      </w:r>
      <w:r w:rsidR="00931A59">
        <w:t>’</w:t>
      </w:r>
      <w:r w:rsidR="002115F0">
        <w:t xml:space="preserve">officier de police judiciaire requise </w:t>
      </w:r>
      <w:r w:rsidR="002115F0" w:rsidRPr="001352E3">
        <w:t>par l</w:t>
      </w:r>
      <w:r w:rsidR="00931A59" w:rsidRPr="001352E3">
        <w:t>’</w:t>
      </w:r>
      <w:r w:rsidR="002115F0" w:rsidRPr="001352E3">
        <w:t xml:space="preserve">article 9 de la </w:t>
      </w:r>
      <w:r w:rsidRPr="001352E3">
        <w:t>L</w:t>
      </w:r>
      <w:r w:rsidR="002115F0" w:rsidRPr="001352E3">
        <w:t>oi ASFT</w:t>
      </w:r>
      <w:r w:rsidR="002115F0">
        <w:t xml:space="preserve">. </w:t>
      </w:r>
    </w:p>
    <w:p w14:paraId="3A31B3AE" w14:textId="77777777" w:rsidR="00FD5F75" w:rsidRDefault="00FD5F75" w:rsidP="008901A0"/>
    <w:p w14:paraId="68A18B00" w14:textId="0B46E7A7" w:rsidR="00BA14BE" w:rsidRDefault="002115F0" w:rsidP="00207F6C">
      <w:r>
        <w:t xml:space="preserve">La Cour recommande de réviser la </w:t>
      </w:r>
      <w:r w:rsidR="00BA14BE">
        <w:t>L</w:t>
      </w:r>
      <w:r>
        <w:t>oi</w:t>
      </w:r>
      <w:r w:rsidR="00BA14BE">
        <w:t xml:space="preserve"> ASFT</w:t>
      </w:r>
      <w:r>
        <w:t xml:space="preserve"> afin d</w:t>
      </w:r>
      <w:r w:rsidR="00931A59">
        <w:t>’</w:t>
      </w:r>
      <w:r>
        <w:t>assouplir les conditions d</w:t>
      </w:r>
      <w:r w:rsidR="00931A59">
        <w:t>’</w:t>
      </w:r>
      <w:r>
        <w:t xml:space="preserve">éligibilité des agents </w:t>
      </w:r>
      <w:r w:rsidR="00BA14BE">
        <w:t>habilités à exécuter les missions découlant de la Loi ASFT.</w:t>
      </w:r>
    </w:p>
    <w:p w14:paraId="735E8BCF" w14:textId="77777777" w:rsidR="008901A0" w:rsidRDefault="008901A0" w:rsidP="008901A0"/>
    <w:p w14:paraId="53C3148E" w14:textId="16D52C85" w:rsidR="00DD6C30" w:rsidRDefault="00BA14BE" w:rsidP="00207F6C">
      <w:r>
        <w:t xml:space="preserve">La Cour constate par ailleurs, que </w:t>
      </w:r>
      <w:r w:rsidR="002115F0">
        <w:t>les visites de contrôle sur place sont effectuées de manière discontinue et irrégulière</w:t>
      </w:r>
      <w:r w:rsidR="00C57E66">
        <w:t xml:space="preserve">. Dans ce contexte, l’orateur fait remarquer que </w:t>
      </w:r>
      <w:r w:rsidR="002115F0">
        <w:t xml:space="preserve">certains règlements </w:t>
      </w:r>
      <w:r w:rsidR="002115F0">
        <w:lastRenderedPageBreak/>
        <w:t>grand-ducaux</w:t>
      </w:r>
      <w:r w:rsidR="00C57E66">
        <w:t xml:space="preserve"> pris en exécution de la Loi ASFT</w:t>
      </w:r>
      <w:r w:rsidR="002115F0">
        <w:t xml:space="preserve"> ne fixent aucune fréquence minimale</w:t>
      </w:r>
      <w:r w:rsidR="00686380">
        <w:t xml:space="preserve"> </w:t>
      </w:r>
      <w:r w:rsidR="00C57E66">
        <w:t>et</w:t>
      </w:r>
      <w:r w:rsidR="002115F0">
        <w:t xml:space="preserve"> d</w:t>
      </w:r>
      <w:r w:rsidR="00931A59">
        <w:t>’</w:t>
      </w:r>
      <w:r w:rsidR="002115F0">
        <w:t>autres en prévoient une</w:t>
      </w:r>
      <w:r w:rsidR="00C57E66">
        <w:t>,</w:t>
      </w:r>
      <w:r w:rsidR="002115F0">
        <w:t xml:space="preserve"> sans qu</w:t>
      </w:r>
      <w:r w:rsidR="00931A59">
        <w:t>’</w:t>
      </w:r>
      <w:r w:rsidR="002115F0">
        <w:t xml:space="preserve">elle soit respectée. </w:t>
      </w:r>
      <w:r w:rsidR="00C57E66">
        <w:t>La Cour a notamment constaté, que pour certains établissements une visite de</w:t>
      </w:r>
      <w:r w:rsidR="00032923">
        <w:t>s</w:t>
      </w:r>
      <w:r w:rsidR="00C57E66">
        <w:t xml:space="preserve"> lieux fait défaut </w:t>
      </w:r>
      <w:r w:rsidR="00DD6C30">
        <w:t xml:space="preserve">pendant des </w:t>
      </w:r>
      <w:r w:rsidR="002115F0">
        <w:t>périodes</w:t>
      </w:r>
      <w:r w:rsidR="00DD6C30">
        <w:t xml:space="preserve"> allant</w:t>
      </w:r>
      <w:r w:rsidR="002115F0">
        <w:t xml:space="preserve"> de quatre à seize ans. Qui plus est, les visites ne </w:t>
      </w:r>
      <w:r w:rsidR="00DD6C30">
        <w:t>s</w:t>
      </w:r>
      <w:r w:rsidR="002115F0">
        <w:t xml:space="preserve">ont pas systématiquement </w:t>
      </w:r>
      <w:r w:rsidR="00DD6C30">
        <w:t>documentées.</w:t>
      </w:r>
      <w:r w:rsidR="002115F0">
        <w:t xml:space="preserve"> </w:t>
      </w:r>
    </w:p>
    <w:p w14:paraId="712C700D" w14:textId="77777777" w:rsidR="008901A0" w:rsidRDefault="008901A0" w:rsidP="008901A0"/>
    <w:p w14:paraId="20ADCA62" w14:textId="4CC9B4DD" w:rsidR="00DD6C30" w:rsidRDefault="00DD6C30" w:rsidP="00207F6C">
      <w:r>
        <w:t>Au vu de ce qui précède, l</w:t>
      </w:r>
      <w:r w:rsidR="002115F0">
        <w:t xml:space="preserve">a Cour recommande </w:t>
      </w:r>
      <w:r>
        <w:t>de 1) h</w:t>
      </w:r>
      <w:r w:rsidRPr="00DD6C30">
        <w:t>armoniser les dispositions réglementaires en vue d’uniformiser les modalités relatives aux contrôles des conditions d’agrément</w:t>
      </w:r>
      <w:r>
        <w:t>, 2) r</w:t>
      </w:r>
      <w:r w:rsidRPr="00DD6C30">
        <w:t xml:space="preserve">especter les délais imposés par les </w:t>
      </w:r>
      <w:r>
        <w:t>dispositions réglementaires</w:t>
      </w:r>
      <w:r w:rsidRPr="00DD6C30">
        <w:t xml:space="preserve"> (pour les ministères et/ou départements respectifs concernés)</w:t>
      </w:r>
      <w:r>
        <w:t>, et 3) r</w:t>
      </w:r>
      <w:r w:rsidRPr="00DD6C30">
        <w:t>édiger un procès-verbal des visites de contrôle.</w:t>
      </w:r>
    </w:p>
    <w:p w14:paraId="5FC78AB8" w14:textId="77777777" w:rsidR="008901A0" w:rsidRDefault="008901A0" w:rsidP="00207F6C">
      <w:pPr>
        <w:pStyle w:val="Paragraphedeliste"/>
        <w:ind w:left="0"/>
        <w:rPr>
          <w:i/>
          <w:iCs/>
        </w:rPr>
      </w:pPr>
    </w:p>
    <w:p w14:paraId="22982925" w14:textId="25F5BFB0" w:rsidR="00DD6C30" w:rsidRPr="00BA14BE" w:rsidRDefault="00DD6C30" w:rsidP="00207F6C">
      <w:pPr>
        <w:pStyle w:val="Paragraphedeliste"/>
        <w:numPr>
          <w:ilvl w:val="0"/>
          <w:numId w:val="11"/>
        </w:numPr>
        <w:ind w:left="284" w:hanging="284"/>
        <w:rPr>
          <w:i/>
          <w:iCs/>
        </w:rPr>
      </w:pPr>
      <w:r w:rsidRPr="00BA14BE">
        <w:rPr>
          <w:i/>
          <w:iCs/>
        </w:rPr>
        <w:t xml:space="preserve">Constatations d’ordre général relatives </w:t>
      </w:r>
      <w:r>
        <w:rPr>
          <w:i/>
          <w:iCs/>
        </w:rPr>
        <w:t>à l’évolution du secteur ASFT</w:t>
      </w:r>
    </w:p>
    <w:p w14:paraId="3DDFD9B9" w14:textId="77777777" w:rsidR="008901A0" w:rsidRDefault="008901A0" w:rsidP="008901A0"/>
    <w:p w14:paraId="456BAF8A" w14:textId="0B199687" w:rsidR="00BA4CE4" w:rsidRDefault="00BA4CE4" w:rsidP="00207F6C">
      <w:r>
        <w:t>La Cour constate que</w:t>
      </w:r>
      <w:r w:rsidR="002115F0">
        <w:t xml:space="preserve"> l</w:t>
      </w:r>
      <w:r w:rsidR="00931A59">
        <w:t>’</w:t>
      </w:r>
      <w:r w:rsidR="002115F0">
        <w:t>évolution considérable du secteur ASFT ne s</w:t>
      </w:r>
      <w:r w:rsidR="00931A59">
        <w:t>’</w:t>
      </w:r>
      <w:r w:rsidR="002115F0">
        <w:t>est pas accompagnée d</w:t>
      </w:r>
      <w:r w:rsidR="00931A59">
        <w:t>’</w:t>
      </w:r>
      <w:r w:rsidR="002115F0">
        <w:t>un ajustement proportionnel des effectifs dans les ministères</w:t>
      </w:r>
      <w:r w:rsidR="00686380">
        <w:t xml:space="preserve"> </w:t>
      </w:r>
      <w:r>
        <w:t>en charge </w:t>
      </w:r>
      <w:r w:rsidR="002115F0">
        <w:t xml:space="preserve">: dans certaines divisions, un seul agent </w:t>
      </w:r>
      <w:r>
        <w:t>a la charge</w:t>
      </w:r>
      <w:r w:rsidR="002115F0">
        <w:t xml:space="preserve"> de l</w:t>
      </w:r>
      <w:r w:rsidR="00931A59">
        <w:t>’</w:t>
      </w:r>
      <w:r w:rsidR="002115F0">
        <w:t>attribution et du contrôle de l</w:t>
      </w:r>
      <w:r w:rsidR="00931A59">
        <w:t>’</w:t>
      </w:r>
      <w:r w:rsidR="002115F0">
        <w:t xml:space="preserve">ensemble des agréments, créant un risque pour la continuité du service. </w:t>
      </w:r>
    </w:p>
    <w:p w14:paraId="773CF461" w14:textId="77777777" w:rsidR="008901A0" w:rsidRDefault="008901A0" w:rsidP="008901A0"/>
    <w:p w14:paraId="1FFEB797" w14:textId="20B26798" w:rsidR="00BA4CE4" w:rsidRDefault="002115F0" w:rsidP="00207F6C">
      <w:r>
        <w:t>Par ailleurs, le processus de gestion des agréments (demande, octroi, suivi) n</w:t>
      </w:r>
      <w:r w:rsidR="00931A59">
        <w:t>’</w:t>
      </w:r>
      <w:r>
        <w:t>est pas numérisé</w:t>
      </w:r>
      <w:r w:rsidR="00BA4CE4">
        <w:t xml:space="preserve"> à travers les quatre ministères</w:t>
      </w:r>
      <w:r>
        <w:t xml:space="preserve">. </w:t>
      </w:r>
    </w:p>
    <w:p w14:paraId="0E3A136F" w14:textId="77777777" w:rsidR="008901A0" w:rsidRDefault="008901A0" w:rsidP="008901A0"/>
    <w:p w14:paraId="1EA11835" w14:textId="25000E87" w:rsidR="00BA4CE4" w:rsidRDefault="00BA4CE4" w:rsidP="00207F6C">
      <w:r>
        <w:t>Au vu de ce qui précède, l</w:t>
      </w:r>
      <w:r w:rsidR="002115F0">
        <w:t xml:space="preserve">a Cour recommande </w:t>
      </w:r>
      <w:r>
        <w:t>1) un a</w:t>
      </w:r>
      <w:r w:rsidRPr="00BA4CE4">
        <w:t>justement de l’effectif au sein des ministères pour assurer en permanence la qualité des prestations et le respect des dispositions légales et réglementaires en vigueur</w:t>
      </w:r>
      <w:r>
        <w:t>, 2) la d</w:t>
      </w:r>
      <w:r w:rsidRPr="00BA4CE4">
        <w:t>igitalisation de l’ensemble du processus de gestion des agréments</w:t>
      </w:r>
      <w:r>
        <w:t xml:space="preserve">, et 2) la </w:t>
      </w:r>
      <w:r w:rsidRPr="00BA4CE4">
        <w:t>mise en place d’une plateforme commune accessible aux quatre ministères</w:t>
      </w:r>
      <w:r>
        <w:t xml:space="preserve"> dans un souci de simplification administrative. </w:t>
      </w:r>
    </w:p>
    <w:p w14:paraId="7CFC372D" w14:textId="77777777" w:rsidR="00BA4CE4" w:rsidRPr="00BA4CE4" w:rsidRDefault="00BA4CE4" w:rsidP="00207F6C"/>
    <w:p w14:paraId="70A5159E" w14:textId="4ABF66B3" w:rsidR="00D63E89" w:rsidRPr="00301148" w:rsidRDefault="00301148" w:rsidP="00207F6C">
      <w:pPr>
        <w:rPr>
          <w:b/>
          <w:bCs/>
          <w:i/>
          <w:iCs/>
        </w:rPr>
      </w:pPr>
      <w:r w:rsidRPr="00301148">
        <w:rPr>
          <w:b/>
          <w:bCs/>
          <w:i/>
          <w:iCs/>
        </w:rPr>
        <w:t>b</w:t>
      </w:r>
      <w:r w:rsidR="00411081" w:rsidRPr="00301148">
        <w:rPr>
          <w:b/>
          <w:bCs/>
          <w:i/>
          <w:iCs/>
        </w:rPr>
        <w:t>. Constatations et recommandations propres à chaque ministère</w:t>
      </w:r>
      <w:r w:rsidRPr="00301148">
        <w:rPr>
          <w:b/>
          <w:bCs/>
          <w:i/>
          <w:iCs/>
        </w:rPr>
        <w:t xml:space="preserve"> </w:t>
      </w:r>
    </w:p>
    <w:p w14:paraId="58DC93DA" w14:textId="77777777" w:rsidR="008901A0" w:rsidRDefault="008901A0" w:rsidP="008901A0"/>
    <w:p w14:paraId="6FE07322" w14:textId="58F8B0B0" w:rsidR="00D63E89" w:rsidRPr="00D63E89" w:rsidRDefault="00DF00EF" w:rsidP="00207F6C">
      <w:pPr>
        <w:rPr>
          <w:b/>
          <w:bCs/>
        </w:rPr>
      </w:pPr>
      <w:r>
        <w:t>Dans le cadre de son contrôle, l</w:t>
      </w:r>
      <w:r w:rsidR="00D43544">
        <w:t xml:space="preserve">a Cour </w:t>
      </w:r>
      <w:r w:rsidR="00DC043E">
        <w:t xml:space="preserve">a </w:t>
      </w:r>
      <w:r w:rsidR="00D43544">
        <w:t>constat</w:t>
      </w:r>
      <w:r w:rsidR="00DC043E">
        <w:t>é</w:t>
      </w:r>
      <w:r w:rsidR="00686380">
        <w:t> </w:t>
      </w:r>
      <w:r w:rsidR="00D63E89">
        <w:t>:</w:t>
      </w:r>
    </w:p>
    <w:p w14:paraId="4F78B022" w14:textId="77777777" w:rsidR="008901A0" w:rsidRDefault="008901A0" w:rsidP="00207F6C"/>
    <w:p w14:paraId="66423660" w14:textId="1FE92D39" w:rsidR="00D63E89" w:rsidRDefault="00DC043E" w:rsidP="00207F6C">
      <w:pPr>
        <w:pStyle w:val="Paragraphedeliste"/>
        <w:numPr>
          <w:ilvl w:val="0"/>
          <w:numId w:val="17"/>
        </w:numPr>
      </w:pPr>
      <w:r>
        <w:t>l’absence d’agrément</w:t>
      </w:r>
      <w:r w:rsidR="00D63E89">
        <w:t xml:space="preserve"> ou bien l’octroi d’agréments conditionnés sans fondement légal</w:t>
      </w:r>
      <w:r>
        <w:t xml:space="preserve"> </w:t>
      </w:r>
      <w:r w:rsidR="00D63E89">
        <w:t>(MIFA : Division Solidarité et MEGA),</w:t>
      </w:r>
    </w:p>
    <w:p w14:paraId="4ED37049" w14:textId="4191B4C8" w:rsidR="00D63E89" w:rsidRDefault="002115F0" w:rsidP="00207F6C">
      <w:pPr>
        <w:pStyle w:val="Paragraphedeliste"/>
        <w:numPr>
          <w:ilvl w:val="0"/>
          <w:numId w:val="17"/>
        </w:numPr>
      </w:pPr>
      <w:r>
        <w:t>des dossiers incomplets ayant néanmoins donné lieu à des agréments définitifs à durée illimitée (</w:t>
      </w:r>
      <w:r w:rsidR="00D63E89">
        <w:t>MIFA : Division Personnes handicapées, MIFA : Division Solidarité, MEGA),</w:t>
      </w:r>
    </w:p>
    <w:p w14:paraId="2F4F6A5C" w14:textId="77777777" w:rsidR="00D63E89" w:rsidRDefault="002115F0" w:rsidP="00207F6C">
      <w:pPr>
        <w:pStyle w:val="Paragraphedeliste"/>
        <w:numPr>
          <w:ilvl w:val="0"/>
          <w:numId w:val="17"/>
        </w:numPr>
      </w:pPr>
      <w:r>
        <w:t xml:space="preserve">des agréments </w:t>
      </w:r>
      <w:r w:rsidR="00D63E89">
        <w:t>à</w:t>
      </w:r>
      <w:r>
        <w:t xml:space="preserve"> durée limitée alors que le dossier est complet (</w:t>
      </w:r>
      <w:r w:rsidR="00D63E89">
        <w:t xml:space="preserve">MENJE : </w:t>
      </w:r>
      <w:r>
        <w:t>DG-Enfance</w:t>
      </w:r>
      <w:r w:rsidR="00D63E89">
        <w:t>),</w:t>
      </w:r>
    </w:p>
    <w:p w14:paraId="6BE47F0B" w14:textId="5D806D24" w:rsidR="002115F0" w:rsidRDefault="00D63E89" w:rsidP="00207F6C">
      <w:pPr>
        <w:pStyle w:val="Paragraphedeliste"/>
        <w:numPr>
          <w:ilvl w:val="0"/>
          <w:numId w:val="17"/>
        </w:numPr>
      </w:pPr>
      <w:r>
        <w:t>des</w:t>
      </w:r>
      <w:r w:rsidR="002115F0">
        <w:t xml:space="preserve"> agréments avec une prise d</w:t>
      </w:r>
      <w:r w:rsidR="00931A59">
        <w:t>’</w:t>
      </w:r>
      <w:r w:rsidR="002115F0">
        <w:t>effet rétroactive (MEGA)</w:t>
      </w:r>
      <w:r>
        <w:t>.</w:t>
      </w:r>
    </w:p>
    <w:p w14:paraId="7D76270F" w14:textId="77777777" w:rsidR="008456A4" w:rsidRDefault="008456A4" w:rsidP="008456A4">
      <w:pPr>
        <w:ind w:left="284" w:hanging="284"/>
      </w:pPr>
    </w:p>
    <w:p w14:paraId="32BDAAC5" w14:textId="28AC84FA" w:rsidR="00D63E89" w:rsidRDefault="00D63E89" w:rsidP="00207F6C">
      <w:pPr>
        <w:ind w:left="284" w:hanging="284"/>
      </w:pPr>
      <w:r>
        <w:t>Au vu de ce qui précède, la Cour émet les recommandations qui suivent :</w:t>
      </w:r>
    </w:p>
    <w:p w14:paraId="5EA242FB" w14:textId="77777777" w:rsidR="008456A4" w:rsidRDefault="008456A4" w:rsidP="00207F6C">
      <w:pPr>
        <w:pStyle w:val="Paragraphedeliste"/>
        <w:ind w:left="284"/>
      </w:pPr>
    </w:p>
    <w:p w14:paraId="2895E98E" w14:textId="4828C1DE" w:rsidR="00D63E89" w:rsidRDefault="00D63E89" w:rsidP="00207F6C">
      <w:pPr>
        <w:pStyle w:val="Paragraphedeliste"/>
        <w:numPr>
          <w:ilvl w:val="0"/>
          <w:numId w:val="18"/>
        </w:numPr>
      </w:pPr>
      <w:r>
        <w:t>pour ce qui est de l’absence d’agrément, p</w:t>
      </w:r>
      <w:r w:rsidRPr="00D63E89">
        <w:t>rocéder à une réforme des dispositions légales en vue d’admettre l’octroi d’un agrément conditionné à durée limitée lorsque des documents font temporairement défaut, sous réserve que ceux-ci n’engagent pas la sécurité des usagers</w:t>
      </w:r>
      <w:r>
        <w:t>,</w:t>
      </w:r>
    </w:p>
    <w:p w14:paraId="5203EDB7" w14:textId="17BFD4EA" w:rsidR="00D63E89" w:rsidRDefault="00D63E89" w:rsidP="00207F6C">
      <w:pPr>
        <w:pStyle w:val="Paragraphedeliste"/>
        <w:numPr>
          <w:ilvl w:val="0"/>
          <w:numId w:val="18"/>
        </w:numPr>
      </w:pPr>
      <w:r>
        <w:t>en ce qui concerne les dossiers d’agréments incomplets au sein du MIFA au motif de l’absence d’un certificat émis par le CGDIS, 1) une c</w:t>
      </w:r>
      <w:r w:rsidRPr="00D63E89">
        <w:t xml:space="preserve">oncertation avec le CGDIS sur la mise en œuvre d’une solution permettant de se conformer aux dispositions </w:t>
      </w:r>
      <w:r w:rsidRPr="00D63E89">
        <w:lastRenderedPageBreak/>
        <w:t>réglementaires</w:t>
      </w:r>
      <w:r>
        <w:t>, 2) à</w:t>
      </w:r>
      <w:r w:rsidRPr="00D63E89">
        <w:t xml:space="preserve"> défaut d’un accord, procéder à une r</w:t>
      </w:r>
      <w:r w:rsidRPr="00DB5A44">
        <w:t xml:space="preserve">évision du règlement grand-ducal </w:t>
      </w:r>
      <w:r w:rsidR="00DB5A44">
        <w:t>applicable à la</w:t>
      </w:r>
      <w:r w:rsidRPr="00DB5A44">
        <w:t xml:space="preserve"> division </w:t>
      </w:r>
      <w:r w:rsidR="00DB5A44" w:rsidRPr="00DB5A44">
        <w:t>« </w:t>
      </w:r>
      <w:r w:rsidRPr="00DB5A44">
        <w:t>Personnes handicapées</w:t>
      </w:r>
      <w:r w:rsidR="00DB5A44" w:rsidRPr="00DB5A44">
        <w:t> »</w:t>
      </w:r>
      <w:r w:rsidR="00DB5A44" w:rsidRPr="00DB5A44">
        <w:rPr>
          <w:rStyle w:val="Appelnotedebasdep"/>
        </w:rPr>
        <w:footnoteReference w:id="5"/>
      </w:r>
      <w:r w:rsidRPr="00DB5A44">
        <w:t>,</w:t>
      </w:r>
    </w:p>
    <w:p w14:paraId="7197DFE0" w14:textId="4849E2E0" w:rsidR="00D63E89" w:rsidRDefault="00DF00EF" w:rsidP="00207F6C">
      <w:pPr>
        <w:pStyle w:val="Paragraphedeliste"/>
        <w:numPr>
          <w:ilvl w:val="0"/>
          <w:numId w:val="18"/>
        </w:numPr>
      </w:pPr>
      <w:r>
        <w:t>pour ce qui est de l’octroi d’un agrément définitif à durée limitée</w:t>
      </w:r>
      <w:r w:rsidR="00D718B7">
        <w:t>,</w:t>
      </w:r>
      <w:r>
        <w:t xml:space="preserve"> revoir la</w:t>
      </w:r>
      <w:r w:rsidRPr="00DF00EF">
        <w:t xml:space="preserve"> réglementation en vigueur en vue de prévoir des échéances régulières pour le contrôle de la conformité des services, de manière à garantir une homogénéisation de la surveillance par l’</w:t>
      </w:r>
      <w:r w:rsidR="00686380">
        <w:t>É</w:t>
      </w:r>
      <w:r w:rsidRPr="00DF00EF">
        <w:t>tat</w:t>
      </w:r>
      <w:r w:rsidR="00D718B7">
        <w:t>,</w:t>
      </w:r>
    </w:p>
    <w:p w14:paraId="79615EC8" w14:textId="03999263" w:rsidR="00D718B7" w:rsidRDefault="00D718B7" w:rsidP="00207F6C">
      <w:pPr>
        <w:pStyle w:val="Paragraphedeliste"/>
        <w:numPr>
          <w:ilvl w:val="0"/>
          <w:numId w:val="18"/>
        </w:numPr>
      </w:pPr>
      <w:r>
        <w:t>en ce qui concerne la mise en vigueur rétroactive d’un agrément, veiller au r</w:t>
      </w:r>
      <w:r w:rsidRPr="00D718B7">
        <w:t xml:space="preserve">espect </w:t>
      </w:r>
      <w:r>
        <w:t>d</w:t>
      </w:r>
      <w:r w:rsidRPr="00D718B7">
        <w:t>es dispositions légales et réglementaires en matière d’émission d’agrément</w:t>
      </w:r>
      <w:r>
        <w:t xml:space="preserve">. La Cour souligne que cette pratique soulève des questions sérieuses en matière de responsabilité dans l’hypothèse d’un </w:t>
      </w:r>
      <w:r w:rsidRPr="00D718B7">
        <w:t>incident.</w:t>
      </w:r>
    </w:p>
    <w:p w14:paraId="37EAC501" w14:textId="77777777" w:rsidR="002115F0" w:rsidRDefault="002115F0" w:rsidP="00207F6C"/>
    <w:p w14:paraId="46028AA7" w14:textId="55918AAF" w:rsidR="00301148" w:rsidRPr="00207F6C" w:rsidRDefault="00301148" w:rsidP="00207F6C">
      <w:pPr>
        <w:rPr>
          <w:b/>
          <w:bCs/>
        </w:rPr>
      </w:pPr>
      <w:r w:rsidRPr="00207F6C">
        <w:rPr>
          <w:b/>
          <w:bCs/>
        </w:rPr>
        <w:t>8. Soutien financier de l’</w:t>
      </w:r>
      <w:r w:rsidR="00686380" w:rsidRPr="00207F6C">
        <w:rPr>
          <w:b/>
          <w:bCs/>
        </w:rPr>
        <w:t>É</w:t>
      </w:r>
      <w:r w:rsidRPr="00207F6C">
        <w:rPr>
          <w:b/>
          <w:bCs/>
        </w:rPr>
        <w:t>tat</w:t>
      </w:r>
    </w:p>
    <w:p w14:paraId="10B2AD3B" w14:textId="77777777" w:rsidR="008901A0" w:rsidRDefault="008901A0" w:rsidP="008901A0">
      <w:pPr>
        <w:rPr>
          <w:b/>
          <w:bCs/>
          <w:i/>
          <w:iCs/>
        </w:rPr>
      </w:pPr>
    </w:p>
    <w:p w14:paraId="6A8E007B" w14:textId="3FAAA618" w:rsidR="00301148" w:rsidRPr="00301148" w:rsidRDefault="00301148" w:rsidP="00207F6C">
      <w:pPr>
        <w:rPr>
          <w:b/>
          <w:bCs/>
          <w:i/>
          <w:iCs/>
        </w:rPr>
      </w:pPr>
      <w:r w:rsidRPr="00301148">
        <w:rPr>
          <w:b/>
          <w:bCs/>
          <w:i/>
          <w:iCs/>
        </w:rPr>
        <w:t xml:space="preserve">a) Constatations et recommandations d’ordre général </w:t>
      </w:r>
    </w:p>
    <w:p w14:paraId="05E10769" w14:textId="77777777" w:rsidR="008901A0" w:rsidRDefault="008901A0" w:rsidP="008901A0"/>
    <w:p w14:paraId="105FE2EA" w14:textId="4D71128A" w:rsidR="002115F0" w:rsidRDefault="00E30D1A" w:rsidP="00207F6C">
      <w:r>
        <w:t>La</w:t>
      </w:r>
      <w:r w:rsidR="00E80127">
        <w:t xml:space="preserve"> </w:t>
      </w:r>
      <w:r w:rsidR="00907336">
        <w:t>L</w:t>
      </w:r>
      <w:r w:rsidR="00E80127">
        <w:t>oi ASFT admet plusieurs modes de financement :</w:t>
      </w:r>
    </w:p>
    <w:p w14:paraId="309F1DD7" w14:textId="77777777" w:rsidR="008901A0" w:rsidRDefault="008901A0" w:rsidP="00207F6C"/>
    <w:p w14:paraId="36FFD329" w14:textId="68CD8CCA" w:rsidR="00E80127" w:rsidRPr="00E80127" w:rsidRDefault="00E80127" w:rsidP="00207F6C">
      <w:pPr>
        <w:pStyle w:val="Paragraphedeliste"/>
        <w:numPr>
          <w:ilvl w:val="0"/>
          <w:numId w:val="19"/>
        </w:numPr>
      </w:pPr>
      <w:r w:rsidRPr="00E80127">
        <w:t xml:space="preserve">la participation financière par couverture du déficit, </w:t>
      </w:r>
    </w:p>
    <w:p w14:paraId="0F54A4FD" w14:textId="77777777" w:rsidR="00E80127" w:rsidRPr="00E80127" w:rsidRDefault="00E80127" w:rsidP="00207F6C">
      <w:pPr>
        <w:pStyle w:val="Paragraphedeliste"/>
        <w:numPr>
          <w:ilvl w:val="0"/>
          <w:numId w:val="19"/>
        </w:numPr>
      </w:pPr>
      <w:r w:rsidRPr="00E80127">
        <w:t xml:space="preserve">la participation financière par unité de prestation, </w:t>
      </w:r>
    </w:p>
    <w:p w14:paraId="3D4A3043" w14:textId="77777777" w:rsidR="00E80127" w:rsidRPr="00E80127" w:rsidRDefault="00E80127" w:rsidP="00207F6C">
      <w:pPr>
        <w:pStyle w:val="Paragraphedeliste"/>
        <w:numPr>
          <w:ilvl w:val="0"/>
          <w:numId w:val="19"/>
        </w:numPr>
      </w:pPr>
      <w:r w:rsidRPr="00E80127">
        <w:t>la participation financière forfaitaire ou par projet,</w:t>
      </w:r>
    </w:p>
    <w:p w14:paraId="3F3D407C" w14:textId="622A5693" w:rsidR="00E80127" w:rsidRDefault="00E80127" w:rsidP="00207F6C">
      <w:pPr>
        <w:pStyle w:val="Paragraphedeliste"/>
        <w:numPr>
          <w:ilvl w:val="0"/>
          <w:numId w:val="19"/>
        </w:numPr>
      </w:pPr>
      <w:r w:rsidRPr="00E80127">
        <w:t>la participation financière mixte.</w:t>
      </w:r>
    </w:p>
    <w:p w14:paraId="1C8D4FFE" w14:textId="77777777" w:rsidR="008901A0" w:rsidRDefault="008901A0" w:rsidP="008901A0"/>
    <w:p w14:paraId="574963D6" w14:textId="01C5CE70" w:rsidR="00E80127" w:rsidRDefault="00E30D1A" w:rsidP="00207F6C">
      <w:r>
        <w:t xml:space="preserve">Dans ce contexte, </w:t>
      </w:r>
      <w:r w:rsidR="00686380">
        <w:t>l</w:t>
      </w:r>
      <w:r>
        <w:t>a Cour a émis un certain nombre de constatations et recommandations d’ordre général.</w:t>
      </w:r>
    </w:p>
    <w:p w14:paraId="66A8CBAC" w14:textId="77777777" w:rsidR="008901A0" w:rsidRDefault="008901A0" w:rsidP="008901A0"/>
    <w:p w14:paraId="4990E022" w14:textId="50B5B9E1" w:rsidR="002115F0" w:rsidRDefault="002115F0" w:rsidP="00207F6C">
      <w:r>
        <w:t>Premièrement,</w:t>
      </w:r>
      <w:r w:rsidR="00F523F1">
        <w:t xml:space="preserve"> la Cour constate</w:t>
      </w:r>
      <w:r>
        <w:t xml:space="preserve"> </w:t>
      </w:r>
      <w:r w:rsidRPr="00E30D1A">
        <w:rPr>
          <w:u w:val="single"/>
        </w:rPr>
        <w:t>des disparités significatives entre les modèles de convention</w:t>
      </w:r>
      <w:r>
        <w:t xml:space="preserve"> appliqués aux mêmes types de financement selon les ministères et les départements. La Cour recommande d</w:t>
      </w:r>
      <w:r w:rsidR="00931A59">
        <w:t>’</w:t>
      </w:r>
      <w:r>
        <w:t>élaborer un modèle de convention commun applicable à un même mode de financement pour l</w:t>
      </w:r>
      <w:r w:rsidR="00931A59">
        <w:t>’</w:t>
      </w:r>
      <w:r>
        <w:t>ensemble des départements concernés.</w:t>
      </w:r>
    </w:p>
    <w:p w14:paraId="738AD1D1" w14:textId="77777777" w:rsidR="008901A0" w:rsidRDefault="008901A0" w:rsidP="008901A0"/>
    <w:p w14:paraId="55F349DF" w14:textId="3326D374" w:rsidR="002115F0" w:rsidRDefault="002115F0" w:rsidP="00207F6C">
      <w:r>
        <w:t>Deuxièmement,</w:t>
      </w:r>
      <w:r w:rsidR="00E30D1A">
        <w:t xml:space="preserve"> la Cour constate </w:t>
      </w:r>
      <w:r w:rsidR="00E30D1A" w:rsidRPr="00E30D1A">
        <w:rPr>
          <w:u w:val="single"/>
        </w:rPr>
        <w:t>des disparités au niveau du contrôle</w:t>
      </w:r>
      <w:r w:rsidR="00E30D1A" w:rsidRPr="003E073A">
        <w:t xml:space="preserve"> des participations financières </w:t>
      </w:r>
      <w:r w:rsidR="00E30D1A">
        <w:t xml:space="preserve">et </w:t>
      </w:r>
      <w:r w:rsidR="00E30D1A" w:rsidRPr="00F523F1">
        <w:rPr>
          <w:u w:val="single"/>
        </w:rPr>
        <w:t>l’</w:t>
      </w:r>
      <w:r w:rsidRPr="00F523F1">
        <w:rPr>
          <w:u w:val="single"/>
        </w:rPr>
        <w:t xml:space="preserve">absence de procédures </w:t>
      </w:r>
      <w:r w:rsidR="00E30D1A" w:rsidRPr="00F523F1">
        <w:rPr>
          <w:u w:val="single"/>
        </w:rPr>
        <w:t>communes</w:t>
      </w:r>
      <w:r w:rsidR="00E30D1A">
        <w:t>. Des divergences sont notamment constatées au niveau d</w:t>
      </w:r>
      <w:r>
        <w:t xml:space="preserve">es modes de transmission des décomptes, </w:t>
      </w:r>
      <w:r w:rsidR="00E30D1A">
        <w:t xml:space="preserve">des documents fournis en appui, </w:t>
      </w:r>
      <w:r>
        <w:t>d</w:t>
      </w:r>
      <w:r w:rsidR="00E30D1A">
        <w:t xml:space="preserve">e </w:t>
      </w:r>
      <w:r>
        <w:t>l</w:t>
      </w:r>
      <w:r w:rsidR="00931A59">
        <w:t>’</w:t>
      </w:r>
      <w:r>
        <w:t>exhaustivité des contrôles</w:t>
      </w:r>
      <w:r w:rsidR="003E073A">
        <w:t xml:space="preserve"> et </w:t>
      </w:r>
      <w:r>
        <w:t>d</w:t>
      </w:r>
      <w:r w:rsidR="003E073A">
        <w:t>e</w:t>
      </w:r>
      <w:r>
        <w:t xml:space="preserve"> la réalisation de visites sur place.</w:t>
      </w:r>
      <w:r w:rsidR="003E073A">
        <w:t xml:space="preserve"> Au vu de ce qui précède,</w:t>
      </w:r>
      <w:r>
        <w:t xml:space="preserve"> </w:t>
      </w:r>
      <w:r w:rsidR="003E073A">
        <w:t>l</w:t>
      </w:r>
      <w:r>
        <w:t>a Cour recommande l</w:t>
      </w:r>
      <w:r w:rsidR="00931A59">
        <w:t>’</w:t>
      </w:r>
      <w:r>
        <w:t>élaboration de procédures collectives opposables à l</w:t>
      </w:r>
      <w:r w:rsidR="00931A59">
        <w:t>’</w:t>
      </w:r>
      <w:r>
        <w:t>ensemble des ministères</w:t>
      </w:r>
      <w:r w:rsidR="003E073A">
        <w:t xml:space="preserve"> avec des </w:t>
      </w:r>
      <w:r>
        <w:t>critères de contrôle</w:t>
      </w:r>
      <w:r w:rsidR="003E073A">
        <w:t xml:space="preserve"> harmonisés et des règles communes.</w:t>
      </w:r>
    </w:p>
    <w:p w14:paraId="67572810" w14:textId="77777777" w:rsidR="008901A0" w:rsidRDefault="008901A0" w:rsidP="008901A0"/>
    <w:p w14:paraId="7165E1D3" w14:textId="2D9B89EC" w:rsidR="002115F0" w:rsidRDefault="002115F0" w:rsidP="00207F6C">
      <w:r>
        <w:t>Troisièmement,</w:t>
      </w:r>
      <w:r w:rsidR="003E073A">
        <w:t xml:space="preserve"> la Cour constate des </w:t>
      </w:r>
      <w:r w:rsidR="003E073A" w:rsidRPr="003E073A">
        <w:rPr>
          <w:u w:val="single"/>
        </w:rPr>
        <w:t>approches di</w:t>
      </w:r>
      <w:r w:rsidR="00F523F1">
        <w:rPr>
          <w:u w:val="single"/>
        </w:rPr>
        <w:t>vergentes</w:t>
      </w:r>
      <w:r w:rsidR="003E073A" w:rsidRPr="003E073A">
        <w:rPr>
          <w:u w:val="single"/>
        </w:rPr>
        <w:t xml:space="preserve"> en matière de</w:t>
      </w:r>
      <w:r w:rsidRPr="003E073A">
        <w:rPr>
          <w:u w:val="single"/>
        </w:rPr>
        <w:t xml:space="preserve"> prise en charge des frais généraux</w:t>
      </w:r>
      <w:r>
        <w:t xml:space="preserve"> («</w:t>
      </w:r>
      <w:r w:rsidR="00662F29">
        <w:t> </w:t>
      </w:r>
      <w:proofErr w:type="spellStart"/>
      <w:r>
        <w:t>overhead</w:t>
      </w:r>
      <w:proofErr w:type="spellEnd"/>
      <w:r w:rsidR="00662F29">
        <w:t> </w:t>
      </w:r>
      <w:r>
        <w:t>»), c</w:t>
      </w:r>
      <w:r w:rsidR="00931A59">
        <w:t>’</w:t>
      </w:r>
      <w:r>
        <w:t>est-à-dire des frais indirectement liés aux activités conventionnées (</w:t>
      </w:r>
      <w:r w:rsidR="003E073A">
        <w:t xml:space="preserve">p.ex. </w:t>
      </w:r>
      <w:r w:rsidR="003E073A" w:rsidRPr="003E073A">
        <w:t>frais de personnel, en particulier ceux liés aux fonctions décisionnelles et opérationnelles et des frais de fonctionnement</w:t>
      </w:r>
      <w:r>
        <w:t>). Aucune définition commune n</w:t>
      </w:r>
      <w:r w:rsidR="00931A59">
        <w:t>’</w:t>
      </w:r>
      <w:r>
        <w:t xml:space="preserve">a été adoptée </w:t>
      </w:r>
      <w:r w:rsidR="00F523F1">
        <w:t xml:space="preserve">par la CH </w:t>
      </w:r>
      <w:r w:rsidR="003E073A">
        <w:t>pour les frais généraux</w:t>
      </w:r>
      <w:r>
        <w:t>, malgré la mise en place d</w:t>
      </w:r>
      <w:r w:rsidR="00931A59">
        <w:t>’</w:t>
      </w:r>
      <w:r>
        <w:t xml:space="preserve">un groupe de travail en 2015. </w:t>
      </w:r>
      <w:r w:rsidR="003E073A">
        <w:t>Au vu de ce qui précède, l</w:t>
      </w:r>
      <w:r>
        <w:t>a Cour recommande l</w:t>
      </w:r>
      <w:r w:rsidR="00931A59">
        <w:t>’</w:t>
      </w:r>
      <w:r>
        <w:t>élaboration de lignes directrices uniformes et transparentes</w:t>
      </w:r>
      <w:r w:rsidR="003E073A">
        <w:t xml:space="preserve"> en matière d’éligibilité et de traitement des frais généraux</w:t>
      </w:r>
      <w:r w:rsidR="001B45EB">
        <w:t xml:space="preserve"> afin de garantir leur prise en charge de manière analogue et égalitaire et d’assurer un traitement équitable des organismes gestionnaires. Pour les établissements de grande taille, la Cour estime qu’il serait opportun d’avoir une vue d’ensemble sur la ventilation des frais généraux. </w:t>
      </w:r>
    </w:p>
    <w:p w14:paraId="4A5D11AF" w14:textId="77777777" w:rsidR="008901A0" w:rsidRDefault="008901A0" w:rsidP="008901A0"/>
    <w:p w14:paraId="6C95587B" w14:textId="05E8ADB8" w:rsidR="002115F0" w:rsidRDefault="002115F0" w:rsidP="00207F6C">
      <w:r>
        <w:t xml:space="preserve">Quatrièmement, </w:t>
      </w:r>
      <w:r w:rsidR="00AC3AC0">
        <w:t xml:space="preserve">la Cour constate que </w:t>
      </w:r>
      <w:r>
        <w:t xml:space="preserve">les </w:t>
      </w:r>
      <w:r w:rsidRPr="00637C6B">
        <w:rPr>
          <w:u w:val="single"/>
        </w:rPr>
        <w:t xml:space="preserve">décomptes transmis par les gestionnaires sont souvent fragmentaires </w:t>
      </w:r>
      <w:r w:rsidR="00637C6B" w:rsidRPr="00637C6B">
        <w:rPr>
          <w:u w:val="single"/>
        </w:rPr>
        <w:t>voir</w:t>
      </w:r>
      <w:r w:rsidR="00637C6B">
        <w:rPr>
          <w:u w:val="single"/>
        </w:rPr>
        <w:t>e</w:t>
      </w:r>
      <w:r w:rsidR="00637C6B" w:rsidRPr="00637C6B">
        <w:rPr>
          <w:u w:val="single"/>
        </w:rPr>
        <w:t xml:space="preserve"> inexistants</w:t>
      </w:r>
      <w:r w:rsidR="00637C6B">
        <w:t xml:space="preserve"> </w:t>
      </w:r>
      <w:r>
        <w:t>(</w:t>
      </w:r>
      <w:r w:rsidR="00637C6B">
        <w:t xml:space="preserve">p.ex. </w:t>
      </w:r>
      <w:r>
        <w:t xml:space="preserve">extraits partiels de la comptabilité analytique, </w:t>
      </w:r>
      <w:r w:rsidR="00637C6B">
        <w:lastRenderedPageBreak/>
        <w:t>pas de</w:t>
      </w:r>
      <w:r>
        <w:t xml:space="preserve"> transmission du bilan ni des recettes globales). La Cour recommande de définir une liste exhaustive de documents comptables à transmettre et de l</w:t>
      </w:r>
      <w:r w:rsidR="00931A59">
        <w:t>’</w:t>
      </w:r>
      <w:r>
        <w:t xml:space="preserve">intégrer dans les </w:t>
      </w:r>
      <w:r w:rsidR="00637C6B">
        <w:t xml:space="preserve">conditions générales ou bien dans les </w:t>
      </w:r>
      <w:r>
        <w:t>conventions.</w:t>
      </w:r>
    </w:p>
    <w:p w14:paraId="594EE33E" w14:textId="77777777" w:rsidR="008901A0" w:rsidRDefault="008901A0" w:rsidP="008901A0"/>
    <w:p w14:paraId="38705833" w14:textId="1C7F438B" w:rsidR="002115F0" w:rsidRDefault="002115F0" w:rsidP="00207F6C">
      <w:r>
        <w:t>Cinquièmement,</w:t>
      </w:r>
      <w:r w:rsidR="00637C6B">
        <w:t xml:space="preserve"> la Cour constate que</w:t>
      </w:r>
      <w:r>
        <w:t xml:space="preserve"> </w:t>
      </w:r>
      <w:r w:rsidRPr="00637C6B">
        <w:rPr>
          <w:u w:val="single"/>
        </w:rPr>
        <w:t>l</w:t>
      </w:r>
      <w:r w:rsidR="00931A59" w:rsidRPr="00637C6B">
        <w:rPr>
          <w:u w:val="single"/>
        </w:rPr>
        <w:t>’</w:t>
      </w:r>
      <w:r w:rsidRPr="00637C6B">
        <w:rPr>
          <w:u w:val="single"/>
        </w:rPr>
        <w:t>enveloppe financière allouée n</w:t>
      </w:r>
      <w:r w:rsidR="00931A59" w:rsidRPr="00637C6B">
        <w:rPr>
          <w:u w:val="single"/>
        </w:rPr>
        <w:t>’</w:t>
      </w:r>
      <w:r w:rsidRPr="00637C6B">
        <w:rPr>
          <w:u w:val="single"/>
        </w:rPr>
        <w:t>est pas systématiquement respectée</w:t>
      </w:r>
      <w:r w:rsidR="001D3A67">
        <w:t xml:space="preserve">. Dans ce contexte, elle note aussi que certains ministères ont tendance à adopter des </w:t>
      </w:r>
      <w:r w:rsidR="001D3A67" w:rsidRPr="000A20D5">
        <w:rPr>
          <w:u w:val="single"/>
        </w:rPr>
        <w:t>pratiques informelles de compensation</w:t>
      </w:r>
      <w:r w:rsidR="001D3A67">
        <w:t xml:space="preserve"> entre les dépenses sans veiller à une démarcation nette. Ainsi, l</w:t>
      </w:r>
      <w:r>
        <w:t>a Cour recommande de se conformer strictement aux dispositions conventionnelles</w:t>
      </w:r>
      <w:r w:rsidR="001D3A67">
        <w:t xml:space="preserve"> ainsi qu’aux conditions générales lors du traitement des décomptes, voire</w:t>
      </w:r>
      <w:r>
        <w:t xml:space="preserve"> d</w:t>
      </w:r>
      <w:r w:rsidR="00931A59">
        <w:t>’</w:t>
      </w:r>
      <w:r>
        <w:t>adapter</w:t>
      </w:r>
      <w:r w:rsidR="001D3A67">
        <w:t>, le cas échéa</w:t>
      </w:r>
      <w:r w:rsidR="000A20D5">
        <w:t>n</w:t>
      </w:r>
      <w:r w:rsidR="001D3A67">
        <w:t>t,</w:t>
      </w:r>
      <w:r>
        <w:t xml:space="preserve"> les conditions générales pour encadrer les</w:t>
      </w:r>
      <w:r w:rsidR="000A20D5">
        <w:t xml:space="preserve"> pratiques de</w:t>
      </w:r>
      <w:r>
        <w:t xml:space="preserve"> compensation.</w:t>
      </w:r>
    </w:p>
    <w:p w14:paraId="770A7E54" w14:textId="77777777" w:rsidR="008901A0" w:rsidRDefault="008901A0" w:rsidP="008901A0"/>
    <w:p w14:paraId="48F47D8F" w14:textId="44E74337" w:rsidR="002115F0" w:rsidRDefault="002115F0" w:rsidP="00207F6C">
      <w:r>
        <w:t xml:space="preserve">Sixièmement, </w:t>
      </w:r>
      <w:r w:rsidR="00877F3A">
        <w:t xml:space="preserve">la Cour constate </w:t>
      </w:r>
      <w:r>
        <w:t xml:space="preserve">des </w:t>
      </w:r>
      <w:r w:rsidRPr="00877F3A">
        <w:rPr>
          <w:u w:val="single"/>
        </w:rPr>
        <w:t xml:space="preserve">lacunes structurelles </w:t>
      </w:r>
      <w:r w:rsidR="00877F3A" w:rsidRPr="00877F3A">
        <w:rPr>
          <w:u w:val="single"/>
        </w:rPr>
        <w:t xml:space="preserve">qui </w:t>
      </w:r>
      <w:r w:rsidRPr="00877F3A">
        <w:rPr>
          <w:u w:val="single"/>
        </w:rPr>
        <w:t>augmentent le risque de double financement</w:t>
      </w:r>
      <w:r w:rsidR="00877F3A">
        <w:rPr>
          <w:u w:val="single"/>
        </w:rPr>
        <w:t>.</w:t>
      </w:r>
      <w:r w:rsidR="00877F3A" w:rsidRPr="00877F3A">
        <w:t xml:space="preserve"> </w:t>
      </w:r>
      <w:r w:rsidR="00877F3A">
        <w:t>C</w:t>
      </w:r>
      <w:r>
        <w:t>ertaines activités relèvent de la compétence de plusieurs ministères</w:t>
      </w:r>
      <w:r w:rsidR="00877F3A">
        <w:t xml:space="preserve"> ; c’est-à-dire que </w:t>
      </w:r>
      <w:r>
        <w:t>les gestionnaires peuvent signer des conventions avec plusieurs ministères pour une même activité</w:t>
      </w:r>
      <w:r w:rsidR="00877F3A">
        <w:t>. Par ailleurs, l</w:t>
      </w:r>
      <w:r>
        <w:t>es agents contrôleurs n</w:t>
      </w:r>
      <w:r w:rsidR="00931A59">
        <w:t>’</w:t>
      </w:r>
      <w:r>
        <w:t>ont pas accès aux dossiers des autres ministères</w:t>
      </w:r>
      <w:r w:rsidR="00877F3A">
        <w:t xml:space="preserve"> (</w:t>
      </w:r>
      <w:r w:rsidR="00AC3AC0">
        <w:t>absence de</w:t>
      </w:r>
      <w:r w:rsidR="00877F3A">
        <w:t xml:space="preserve"> numérisation et </w:t>
      </w:r>
      <w:r>
        <w:t xml:space="preserve">de plateforme </w:t>
      </w:r>
      <w:r w:rsidR="00AC3AC0">
        <w:t xml:space="preserve">informatique </w:t>
      </w:r>
      <w:r>
        <w:t>commune</w:t>
      </w:r>
      <w:r w:rsidR="00877F3A">
        <w:t>)</w:t>
      </w:r>
      <w:r>
        <w:t>. La Cour recommande d</w:t>
      </w:r>
      <w:r w:rsidR="00931A59">
        <w:t>’</w:t>
      </w:r>
      <w:r>
        <w:t>harmoniser la réglementation pour délimiter clairement le</w:t>
      </w:r>
      <w:r w:rsidR="00877F3A">
        <w:t xml:space="preserve"> champ de</w:t>
      </w:r>
      <w:r>
        <w:t xml:space="preserve"> compétence de chaque ministère</w:t>
      </w:r>
      <w:r w:rsidR="00877F3A">
        <w:t>. La Cour recommande en outre</w:t>
      </w:r>
      <w:r>
        <w:t xml:space="preserve"> de promouvoir la collaboration interministérielle et de digitaliser les processus de suivi</w:t>
      </w:r>
      <w:r w:rsidR="00877F3A">
        <w:t xml:space="preserve"> des décomptes par le biais d’un</w:t>
      </w:r>
      <w:r w:rsidR="00662F29">
        <w:t>e</w:t>
      </w:r>
      <w:r w:rsidR="00877F3A">
        <w:t xml:space="preserve"> plateforme numérique centralisée.</w:t>
      </w:r>
    </w:p>
    <w:p w14:paraId="2981F4F7" w14:textId="77777777" w:rsidR="008901A0" w:rsidRDefault="008901A0" w:rsidP="008901A0"/>
    <w:p w14:paraId="6681B967" w14:textId="6D928840" w:rsidR="002115F0" w:rsidRDefault="002115F0" w:rsidP="00207F6C">
      <w:r>
        <w:t xml:space="preserve">Septièmement, </w:t>
      </w:r>
      <w:r w:rsidR="00C43E21">
        <w:t xml:space="preserve">la Cour constate des </w:t>
      </w:r>
      <w:r w:rsidR="00C43E21" w:rsidRPr="00C43E21">
        <w:rPr>
          <w:u w:val="single"/>
        </w:rPr>
        <w:t>retards dans l’analyse des décomptes annuels</w:t>
      </w:r>
      <w:r w:rsidR="00C43E21">
        <w:t>. L</w:t>
      </w:r>
      <w:r>
        <w:t xml:space="preserve">es délais </w:t>
      </w:r>
      <w:r w:rsidR="00705B61">
        <w:t xml:space="preserve">fixés dans les conditions générales relatives à la </w:t>
      </w:r>
      <w:r>
        <w:t xml:space="preserve">transmission et </w:t>
      </w:r>
      <w:r w:rsidR="00705B61">
        <w:t xml:space="preserve">au contrôle </w:t>
      </w:r>
      <w:r>
        <w:t>des décomptes annuels ne sont généralement pas respectés</w:t>
      </w:r>
      <w:r w:rsidR="00705B61">
        <w:t>.</w:t>
      </w:r>
      <w:r>
        <w:t xml:space="preserve"> La Cour recommande d</w:t>
      </w:r>
      <w:r w:rsidR="00931A59">
        <w:t>’</w:t>
      </w:r>
      <w:r>
        <w:t>identifier les causes de ces retards et de prendre les mesures nécessaires</w:t>
      </w:r>
      <w:r w:rsidR="00882A86">
        <w:t xml:space="preserve"> en vue de garantir le respect des clauses des conditions générales.</w:t>
      </w:r>
    </w:p>
    <w:p w14:paraId="264E3E07" w14:textId="77777777" w:rsidR="008901A0" w:rsidRDefault="008901A0" w:rsidP="008901A0"/>
    <w:p w14:paraId="19B2982F" w14:textId="1F4E9F9E" w:rsidR="002115F0" w:rsidRDefault="00C57E66" w:rsidP="00207F6C">
      <w:r>
        <w:t>Huitièmement</w:t>
      </w:r>
      <w:r w:rsidR="002115F0">
        <w:t xml:space="preserve">, </w:t>
      </w:r>
      <w:r w:rsidR="002115F0" w:rsidRPr="00882A86">
        <w:rPr>
          <w:u w:val="single"/>
        </w:rPr>
        <w:t>la condition posée par l</w:t>
      </w:r>
      <w:r w:rsidR="00931A59" w:rsidRPr="00882A86">
        <w:rPr>
          <w:u w:val="single"/>
        </w:rPr>
        <w:t>’</w:t>
      </w:r>
      <w:r w:rsidR="002115F0" w:rsidRPr="00882A86">
        <w:rPr>
          <w:u w:val="single"/>
        </w:rPr>
        <w:t>article 11</w:t>
      </w:r>
      <w:r w:rsidR="00882A86" w:rsidRPr="00882A86">
        <w:rPr>
          <w:u w:val="single"/>
        </w:rPr>
        <w:t>, lettre</w:t>
      </w:r>
      <w:r w:rsidR="002115F0" w:rsidRPr="00882A86">
        <w:rPr>
          <w:u w:val="single"/>
        </w:rPr>
        <w:t xml:space="preserve"> c)</w:t>
      </w:r>
      <w:r w:rsidR="00882A86" w:rsidRPr="00882A86">
        <w:rPr>
          <w:u w:val="single"/>
        </w:rPr>
        <w:t>,</w:t>
      </w:r>
      <w:r w:rsidR="002115F0" w:rsidRPr="00882A86">
        <w:rPr>
          <w:u w:val="single"/>
        </w:rPr>
        <w:t xml:space="preserve"> de la </w:t>
      </w:r>
      <w:r w:rsidR="00907336">
        <w:rPr>
          <w:u w:val="single"/>
        </w:rPr>
        <w:t>L</w:t>
      </w:r>
      <w:r w:rsidR="002115F0" w:rsidRPr="00882A86">
        <w:rPr>
          <w:u w:val="single"/>
        </w:rPr>
        <w:t>oi ASFT</w:t>
      </w:r>
      <w:r w:rsidR="00882A86" w:rsidRPr="00882A86">
        <w:rPr>
          <w:u w:val="single"/>
        </w:rPr>
        <w:t xml:space="preserve">, </w:t>
      </w:r>
      <w:r w:rsidR="002115F0" w:rsidRPr="00882A86">
        <w:rPr>
          <w:u w:val="single"/>
        </w:rPr>
        <w:t>selon laquelle les activités financées doivent répondre à des besoins effectifs constatés par le Conseil de gouvernement</w:t>
      </w:r>
      <w:r w:rsidR="00882A86" w:rsidRPr="00882A86">
        <w:rPr>
          <w:u w:val="single"/>
        </w:rPr>
        <w:t xml:space="preserve">, </w:t>
      </w:r>
      <w:r w:rsidR="002115F0" w:rsidRPr="00882A86">
        <w:rPr>
          <w:u w:val="single"/>
        </w:rPr>
        <w:t>n</w:t>
      </w:r>
      <w:r w:rsidR="00931A59" w:rsidRPr="00882A86">
        <w:rPr>
          <w:u w:val="single"/>
        </w:rPr>
        <w:t>’</w:t>
      </w:r>
      <w:r w:rsidR="002115F0" w:rsidRPr="00882A86">
        <w:rPr>
          <w:u w:val="single"/>
        </w:rPr>
        <w:t>est pas appliquée</w:t>
      </w:r>
      <w:r w:rsidR="002115F0">
        <w:t xml:space="preserve"> en pratique. La Cour recommande de se conformer à cette disposition légale</w:t>
      </w:r>
      <w:r w:rsidR="00882A86">
        <w:t xml:space="preserve"> et souligne l’importance de consacrer les financements publics aux seul</w:t>
      </w:r>
      <w:r w:rsidR="00FE02BC">
        <w:t>e</w:t>
      </w:r>
      <w:r w:rsidR="00882A86">
        <w:t xml:space="preserve">s activités pour lesquelles un besoin effectif existe. </w:t>
      </w:r>
    </w:p>
    <w:p w14:paraId="19594E7C" w14:textId="77777777" w:rsidR="00C43E21" w:rsidRDefault="00C43E21" w:rsidP="00207F6C"/>
    <w:p w14:paraId="0F0B7CBD" w14:textId="3949FF0F" w:rsidR="00882A86" w:rsidRPr="00301148" w:rsidRDefault="00882A86" w:rsidP="00207F6C">
      <w:pPr>
        <w:rPr>
          <w:b/>
          <w:bCs/>
          <w:i/>
          <w:iCs/>
        </w:rPr>
      </w:pPr>
      <w:r w:rsidRPr="00301148">
        <w:rPr>
          <w:b/>
          <w:bCs/>
          <w:i/>
          <w:iCs/>
        </w:rPr>
        <w:t xml:space="preserve">a) Constatations et recommandations </w:t>
      </w:r>
      <w:r>
        <w:rPr>
          <w:b/>
          <w:bCs/>
          <w:i/>
          <w:iCs/>
        </w:rPr>
        <w:t>propres à chaque ministère</w:t>
      </w:r>
    </w:p>
    <w:p w14:paraId="4C44CFE9" w14:textId="77777777" w:rsidR="00952137" w:rsidRDefault="00952137" w:rsidP="008901A0"/>
    <w:p w14:paraId="46F39AF4" w14:textId="4306F245" w:rsidR="00737669" w:rsidRDefault="00882A86" w:rsidP="00207F6C">
      <w:r>
        <w:t>Pour ce qui est du MIFA</w:t>
      </w:r>
      <w:r w:rsidR="00662F29">
        <w:t xml:space="preserve"> </w:t>
      </w:r>
      <w:r>
        <w:t>(Division Solidaire) et du MEGA, l</w:t>
      </w:r>
      <w:r w:rsidR="002115F0">
        <w:t xml:space="preserve">a Cour relève </w:t>
      </w:r>
      <w:r>
        <w:t>que des conventions ont été conclues pour des activités non</w:t>
      </w:r>
      <w:r w:rsidR="00737669">
        <w:t xml:space="preserve"> </w:t>
      </w:r>
      <w:r>
        <w:t>agréées</w:t>
      </w:r>
      <w:r w:rsidR="0023598B">
        <w:t xml:space="preserve"> et que </w:t>
      </w:r>
      <w:r w:rsidR="00737669">
        <w:t xml:space="preserve">les gestionnaires en question </w:t>
      </w:r>
      <w:r w:rsidR="002115F0">
        <w:t>ont</w:t>
      </w:r>
      <w:r w:rsidR="00737669">
        <w:t xml:space="preserve"> pu</w:t>
      </w:r>
      <w:r w:rsidR="002115F0">
        <w:t xml:space="preserve"> bénéfici</w:t>
      </w:r>
      <w:r w:rsidR="00737669">
        <w:t>er</w:t>
      </w:r>
      <w:r w:rsidR="002115F0">
        <w:t xml:space="preserve"> d</w:t>
      </w:r>
      <w:r w:rsidR="00931A59">
        <w:t>’</w:t>
      </w:r>
      <w:r w:rsidR="002115F0">
        <w:t>une participation financière</w:t>
      </w:r>
      <w:r w:rsidR="0023598B">
        <w:t>.</w:t>
      </w:r>
    </w:p>
    <w:p w14:paraId="078F06A3" w14:textId="77777777" w:rsidR="00952137" w:rsidRDefault="00952137" w:rsidP="008901A0"/>
    <w:p w14:paraId="1A32394F" w14:textId="2BEB93BA" w:rsidR="00737669" w:rsidRDefault="00737669" w:rsidP="00207F6C">
      <w:r>
        <w:t>En référence à des sommes indûment touchées, la Cour constate</w:t>
      </w:r>
      <w:r w:rsidR="002115F0">
        <w:t xml:space="preserve"> que le MEGA est le seul ministère à ne pas e</w:t>
      </w:r>
      <w:r w:rsidR="002115F0" w:rsidRPr="00FE02BC">
        <w:t>xiger la restitution au Trésor des sommes indûment perçues</w:t>
      </w:r>
      <w:r w:rsidRPr="00FE02BC">
        <w:t>, tel que prévu à l’article 12 de la Loi ASFT.</w:t>
      </w:r>
      <w:r>
        <w:t xml:space="preserve"> Le MEGA pratique</w:t>
      </w:r>
      <w:r w:rsidR="00FE02BC">
        <w:t>,</w:t>
      </w:r>
      <w:r w:rsidR="002115F0">
        <w:t xml:space="preserve"> à la place</w:t>
      </w:r>
      <w:r w:rsidR="00FE02BC">
        <w:t>,</w:t>
      </w:r>
      <w:r w:rsidR="002115F0">
        <w:t xml:space="preserve"> une déduction</w:t>
      </w:r>
      <w:r>
        <w:t xml:space="preserve"> de ces sommes de la participation financière</w:t>
      </w:r>
      <w:r w:rsidR="002115F0">
        <w:t xml:space="preserve"> </w:t>
      </w:r>
      <w:r>
        <w:t>prévue pour</w:t>
      </w:r>
      <w:r w:rsidR="002115F0">
        <w:t xml:space="preserve"> l</w:t>
      </w:r>
      <w:r w:rsidR="00931A59">
        <w:t>’</w:t>
      </w:r>
      <w:r w:rsidR="002115F0">
        <w:t xml:space="preserve">année suivante, ce qui </w:t>
      </w:r>
      <w:r>
        <w:t>enfreint</w:t>
      </w:r>
      <w:r w:rsidR="002115F0">
        <w:t xml:space="preserve"> le principe de l</w:t>
      </w:r>
      <w:r w:rsidR="00931A59">
        <w:t>’</w:t>
      </w:r>
      <w:r w:rsidR="002115F0">
        <w:t>annualité budgétaire.</w:t>
      </w:r>
      <w:r>
        <w:t xml:space="preserve"> Pour la DG-Jeunesse du MENJE, la Cour constate le défaut de restitution au Trésor de sommes indûment touché</w:t>
      </w:r>
      <w:r w:rsidR="00662F29">
        <w:t>e</w:t>
      </w:r>
      <w:r>
        <w:t>s par un gestionnaire durant l’exercice 2019.</w:t>
      </w:r>
    </w:p>
    <w:p w14:paraId="1D819B88" w14:textId="77777777" w:rsidR="00952137" w:rsidRDefault="00952137" w:rsidP="00EC0CDA"/>
    <w:p w14:paraId="0B024BE5" w14:textId="070D1F97" w:rsidR="00737669" w:rsidRDefault="00737669" w:rsidP="00207F6C">
      <w:r>
        <w:t xml:space="preserve">La Cour recommande de veiller à la conformité des dispositions légales et des conditions générales en vigueur </w:t>
      </w:r>
      <w:r w:rsidR="0023598B">
        <w:t xml:space="preserve">et d’améliorer les procédures de contrôle en matière de restitution de sommes indûment touchées. </w:t>
      </w:r>
    </w:p>
    <w:p w14:paraId="529986DD" w14:textId="77777777" w:rsidR="002115F0" w:rsidRDefault="002115F0" w:rsidP="00207F6C"/>
    <w:p w14:paraId="42BDA93F" w14:textId="77777777" w:rsidR="00207F6C" w:rsidRDefault="00207F6C" w:rsidP="00207F6C"/>
    <w:p w14:paraId="1A25716B" w14:textId="77777777" w:rsidR="00207F6C" w:rsidRDefault="00207F6C" w:rsidP="00207F6C"/>
    <w:p w14:paraId="729130C7" w14:textId="77777777" w:rsidR="00207F6C" w:rsidRDefault="00207F6C" w:rsidP="00207F6C"/>
    <w:p w14:paraId="66D7A91F" w14:textId="02BF0FE7" w:rsidR="002115F0" w:rsidRPr="0023598B" w:rsidRDefault="0023598B" w:rsidP="00207F6C">
      <w:pPr>
        <w:rPr>
          <w:b/>
          <w:bCs/>
        </w:rPr>
      </w:pPr>
      <w:r w:rsidRPr="0023598B">
        <w:rPr>
          <w:b/>
          <w:bCs/>
        </w:rPr>
        <w:lastRenderedPageBreak/>
        <w:t xml:space="preserve">9. </w:t>
      </w:r>
      <w:r w:rsidR="002115F0" w:rsidRPr="0023598B">
        <w:rPr>
          <w:b/>
          <w:bCs/>
        </w:rPr>
        <w:t>Commission d</w:t>
      </w:r>
      <w:r w:rsidR="00931A59" w:rsidRPr="0023598B">
        <w:rPr>
          <w:b/>
          <w:bCs/>
        </w:rPr>
        <w:t>’</w:t>
      </w:r>
      <w:r w:rsidR="0000403F" w:rsidRPr="0023598B">
        <w:rPr>
          <w:b/>
          <w:bCs/>
        </w:rPr>
        <w:t>H</w:t>
      </w:r>
      <w:r w:rsidR="002115F0" w:rsidRPr="0023598B">
        <w:rPr>
          <w:b/>
          <w:bCs/>
        </w:rPr>
        <w:t>armonisation</w:t>
      </w:r>
    </w:p>
    <w:p w14:paraId="4C0E0D3A" w14:textId="77777777" w:rsidR="00952137" w:rsidRDefault="00952137" w:rsidP="00EC0CDA"/>
    <w:p w14:paraId="62D38BED" w14:textId="47457FBB" w:rsidR="001F0A84" w:rsidRDefault="002115F0" w:rsidP="00EC0CDA">
      <w:r>
        <w:t>L</w:t>
      </w:r>
      <w:r w:rsidR="0023598B">
        <w:t>es diverses constatations de la</w:t>
      </w:r>
      <w:r>
        <w:t xml:space="preserve"> Cour </w:t>
      </w:r>
      <w:r w:rsidR="0023598B">
        <w:t>en matière de disparités constatées pour les procédures de financement et de contrôle</w:t>
      </w:r>
      <w:r w:rsidR="00126021">
        <w:t xml:space="preserve">, d’éligibilité et de prise en charge des frais généraux ainsi que des risques de double financement, devraient faire appel à une prise de position de la CH. La Cour </w:t>
      </w:r>
      <w:r>
        <w:t>constate toutefois qu</w:t>
      </w:r>
      <w:r w:rsidR="00126021">
        <w:t>e la CH peine à trancher sur ces</w:t>
      </w:r>
      <w:r>
        <w:t xml:space="preserve"> questions transversales pourtant essentielles. </w:t>
      </w:r>
      <w:r w:rsidR="001F0A84">
        <w:t>Au vu de ce qui précède, l</w:t>
      </w:r>
      <w:r>
        <w:t>a Cour recommande</w:t>
      </w:r>
      <w:r w:rsidR="00662F29">
        <w:t xml:space="preserve"> </w:t>
      </w:r>
      <w:r>
        <w:t>de réformer la CH</w:t>
      </w:r>
      <w:r w:rsidR="00FE02BC">
        <w:t xml:space="preserve">, </w:t>
      </w:r>
      <w:r w:rsidR="00126021">
        <w:t xml:space="preserve">de revoir ses missions et </w:t>
      </w:r>
      <w:r w:rsidR="00662F29">
        <w:t>d’</w:t>
      </w:r>
      <w:r>
        <w:t xml:space="preserve">étoffer son champ de compétence </w:t>
      </w:r>
      <w:r w:rsidR="00126021">
        <w:t xml:space="preserve">en vue d’œuvrer en faveur d’une </w:t>
      </w:r>
      <w:r>
        <w:t>harmonisation</w:t>
      </w:r>
      <w:r w:rsidR="00126021">
        <w:t xml:space="preserve"> dans la gestion du secteur ASFT</w:t>
      </w:r>
      <w:r w:rsidR="001F0A84">
        <w:t xml:space="preserve"> (modèles de conventions, procédures de traitement et de contrôle des décomptes, méthodes de travail, fixation des critères uniformes pour l’éligibilité des frais généraux</w:t>
      </w:r>
      <w:r w:rsidR="00AF3BBC">
        <w:t xml:space="preserve"> et </w:t>
      </w:r>
      <w:r w:rsidR="001F0A84">
        <w:t>champs de compétence des ministères).</w:t>
      </w:r>
    </w:p>
    <w:p w14:paraId="191679AF" w14:textId="77777777" w:rsidR="00952137" w:rsidRDefault="00952137" w:rsidP="00207F6C"/>
    <w:p w14:paraId="05781FAD" w14:textId="34FFB451" w:rsidR="00952137" w:rsidRDefault="002115F0" w:rsidP="00207F6C">
      <w:pPr>
        <w:jc w:val="center"/>
      </w:pPr>
      <w:r>
        <w:t>*</w:t>
      </w:r>
    </w:p>
    <w:p w14:paraId="42790269" w14:textId="77777777" w:rsidR="002115F0" w:rsidRDefault="002115F0" w:rsidP="00207F6C">
      <w:r>
        <w:rPr>
          <w:b/>
          <w:bCs/>
          <w:sz w:val="24"/>
          <w:szCs w:val="24"/>
          <w:u w:val="single"/>
        </w:rPr>
        <w:t>II. Échange de vues</w:t>
      </w:r>
    </w:p>
    <w:p w14:paraId="3986EFBD" w14:textId="77777777" w:rsidR="00952137" w:rsidRDefault="00952137" w:rsidP="00EC0CDA">
      <w:pPr>
        <w:rPr>
          <w:u w:val="single"/>
        </w:rPr>
      </w:pPr>
    </w:p>
    <w:p w14:paraId="375E5574" w14:textId="705B749D" w:rsidR="002115F0" w:rsidRDefault="00B22D03" w:rsidP="00207F6C">
      <w:r>
        <w:rPr>
          <w:u w:val="single"/>
        </w:rPr>
        <w:t xml:space="preserve">Monsieur </w:t>
      </w:r>
      <w:r w:rsidR="00124843">
        <w:rPr>
          <w:u w:val="single"/>
        </w:rPr>
        <w:t xml:space="preserve">Franz </w:t>
      </w:r>
      <w:r>
        <w:rPr>
          <w:u w:val="single"/>
        </w:rPr>
        <w:t>Fayot</w:t>
      </w:r>
      <w:r w:rsidR="002115F0">
        <w:t xml:space="preserve"> pose en premier lieu une question portant sur le risque de double financement.</w:t>
      </w:r>
      <w:r>
        <w:t xml:space="preserve"> Tout en</w:t>
      </w:r>
      <w:r w:rsidR="002115F0">
        <w:t xml:space="preserve"> not</w:t>
      </w:r>
      <w:r>
        <w:t>ant</w:t>
      </w:r>
      <w:r w:rsidR="002115F0">
        <w:t xml:space="preserve"> l</w:t>
      </w:r>
      <w:r w:rsidR="00931A59">
        <w:t>’</w:t>
      </w:r>
      <w:r w:rsidR="002115F0">
        <w:t>absence d</w:t>
      </w:r>
      <w:r w:rsidR="00931A59">
        <w:t>’</w:t>
      </w:r>
      <w:r w:rsidR="002115F0">
        <w:t xml:space="preserve">une plateforme commune permettant une vue </w:t>
      </w:r>
      <w:r w:rsidR="00207F6C">
        <w:t>générale</w:t>
      </w:r>
      <w:r w:rsidR="00D4391E">
        <w:t xml:space="preserve"> </w:t>
      </w:r>
      <w:r w:rsidR="002115F0">
        <w:t>sur l</w:t>
      </w:r>
      <w:r w:rsidR="00931A59">
        <w:t>’</w:t>
      </w:r>
      <w:r w:rsidR="002115F0">
        <w:t>ensemble des dossiers et des financements</w:t>
      </w:r>
      <w:r>
        <w:t>, i</w:t>
      </w:r>
      <w:r w:rsidR="002115F0">
        <w:t>l demande si la Cour dispose d</w:t>
      </w:r>
      <w:r w:rsidR="00931A59">
        <w:t>’</w:t>
      </w:r>
      <w:r w:rsidR="002115F0">
        <w:t>exemples de cas où ce risque s</w:t>
      </w:r>
      <w:r w:rsidR="00931A59">
        <w:t>’</w:t>
      </w:r>
      <w:r w:rsidR="002115F0">
        <w:t>est concrétisé sur le terrain.</w:t>
      </w:r>
    </w:p>
    <w:p w14:paraId="5EE9BB9C" w14:textId="77777777" w:rsidR="00952137" w:rsidRDefault="00952137" w:rsidP="00EC0CDA">
      <w:pPr>
        <w:rPr>
          <w:u w:val="single"/>
        </w:rPr>
      </w:pPr>
    </w:p>
    <w:p w14:paraId="22956012" w14:textId="1B2E6BC9" w:rsidR="00B22D03" w:rsidRDefault="002115F0" w:rsidP="00207F6C">
      <w:r>
        <w:rPr>
          <w:u w:val="single"/>
        </w:rPr>
        <w:t xml:space="preserve">Le </w:t>
      </w:r>
      <w:r w:rsidR="00B22D03">
        <w:rPr>
          <w:u w:val="single"/>
        </w:rPr>
        <w:t>Vice-président</w:t>
      </w:r>
      <w:r w:rsidRPr="00B22D03">
        <w:t xml:space="preserve"> </w:t>
      </w:r>
      <w:r>
        <w:t>confirme qu</w:t>
      </w:r>
      <w:r w:rsidR="00B22D03">
        <w:t>e deux</w:t>
      </w:r>
      <w:r>
        <w:t xml:space="preserve"> cas de double financement </w:t>
      </w:r>
      <w:r w:rsidR="00B22D03">
        <w:t>ont</w:t>
      </w:r>
      <w:r>
        <w:t xml:space="preserve"> effectivement été identifié</w:t>
      </w:r>
      <w:r w:rsidR="00B22D03">
        <w:t>s</w:t>
      </w:r>
      <w:r>
        <w:t xml:space="preserve"> dans le cadre du contrôle</w:t>
      </w:r>
      <w:r w:rsidR="00B22D03">
        <w:t>. Il s’agit de situations où</w:t>
      </w:r>
      <w:r>
        <w:t xml:space="preserve"> un gestionnaire </w:t>
      </w:r>
      <w:r w:rsidR="00B22D03">
        <w:t xml:space="preserve">s’est </w:t>
      </w:r>
      <w:r>
        <w:t>vu</w:t>
      </w:r>
      <w:r w:rsidR="00B22D03">
        <w:t xml:space="preserve"> accorder pendant un certain temps un financement par deux ministères distincts pour</w:t>
      </w:r>
      <w:r>
        <w:t xml:space="preserve"> une même activité</w:t>
      </w:r>
      <w:r w:rsidR="00B22D03">
        <w:t xml:space="preserve">. </w:t>
      </w:r>
    </w:p>
    <w:p w14:paraId="28390E10" w14:textId="77777777" w:rsidR="00952137" w:rsidRDefault="00952137" w:rsidP="00EC0CDA">
      <w:pPr>
        <w:rPr>
          <w:u w:val="single"/>
        </w:rPr>
      </w:pPr>
    </w:p>
    <w:p w14:paraId="625FBD0E" w14:textId="510E2F4A" w:rsidR="00B22D03" w:rsidRDefault="00B22D03" w:rsidP="00207F6C">
      <w:r w:rsidRPr="00B22D03">
        <w:rPr>
          <w:u w:val="single"/>
        </w:rPr>
        <w:t>Une représentante de la Cour</w:t>
      </w:r>
      <w:r>
        <w:t xml:space="preserve"> ajoute que l</w:t>
      </w:r>
      <w:r w:rsidR="002115F0">
        <w:t xml:space="preserve">a sanction appliquée a consisté à </w:t>
      </w:r>
      <w:r>
        <w:t>obliger le</w:t>
      </w:r>
      <w:r w:rsidR="002115F0">
        <w:t xml:space="preserve"> gestionnaire de choisir un seul ministère</w:t>
      </w:r>
      <w:r>
        <w:t xml:space="preserve"> pour le financement de son activité. </w:t>
      </w:r>
    </w:p>
    <w:p w14:paraId="6680558C" w14:textId="77777777" w:rsidR="00952137" w:rsidRDefault="00952137" w:rsidP="00EC0CDA">
      <w:pPr>
        <w:rPr>
          <w:u w:val="single"/>
        </w:rPr>
      </w:pPr>
    </w:p>
    <w:p w14:paraId="39011EC7" w14:textId="011D9240" w:rsidR="002115F0" w:rsidRDefault="00B22D03" w:rsidP="00207F6C">
      <w:r w:rsidRPr="00B22D03">
        <w:rPr>
          <w:u w:val="single"/>
        </w:rPr>
        <w:t>Le Président</w:t>
      </w:r>
      <w:r>
        <w:t xml:space="preserve"> de la Cour tient à</w:t>
      </w:r>
      <w:r w:rsidR="002115F0">
        <w:t xml:space="preserve"> précis</w:t>
      </w:r>
      <w:r>
        <w:t>er</w:t>
      </w:r>
      <w:r w:rsidR="002115F0">
        <w:t xml:space="preserve"> que le contrôle</w:t>
      </w:r>
      <w:r>
        <w:t xml:space="preserve"> de la Cour</w:t>
      </w:r>
      <w:r w:rsidR="002115F0">
        <w:t xml:space="preserve"> s</w:t>
      </w:r>
      <w:r w:rsidR="00931A59">
        <w:t>’</w:t>
      </w:r>
      <w:r w:rsidR="002115F0">
        <w:t xml:space="preserve">est inscrit dans une approche </w:t>
      </w:r>
      <w:r>
        <w:t>d’analyse globale et non dans l’étude de cas isolés. La Cour a voulu</w:t>
      </w:r>
      <w:r w:rsidR="002115F0">
        <w:t xml:space="preserve"> dresser un</w:t>
      </w:r>
      <w:r>
        <w:t xml:space="preserve">e vue </w:t>
      </w:r>
      <w:r w:rsidR="002115F0">
        <w:t>d</w:t>
      </w:r>
      <w:r w:rsidR="00931A59">
        <w:t>’</w:t>
      </w:r>
      <w:r w:rsidR="002115F0">
        <w:t xml:space="preserve">ensemble des procédures </w:t>
      </w:r>
      <w:r>
        <w:t>et s’est abstenue de</w:t>
      </w:r>
      <w:r w:rsidR="002115F0">
        <w:t xml:space="preserve"> </w:t>
      </w:r>
      <w:r>
        <w:t>se pencher</w:t>
      </w:r>
      <w:r w:rsidR="002115F0">
        <w:t xml:space="preserve"> dans le détail de chaque dossier</w:t>
      </w:r>
      <w:r>
        <w:t>. Il n’est donc pas exclu</w:t>
      </w:r>
      <w:r w:rsidR="002115F0">
        <w:t xml:space="preserve"> que d</w:t>
      </w:r>
      <w:r w:rsidR="00931A59">
        <w:t>’</w:t>
      </w:r>
      <w:r w:rsidR="002115F0">
        <w:t xml:space="preserve">autres cas </w:t>
      </w:r>
      <w:r>
        <w:t xml:space="preserve">de double financement </w:t>
      </w:r>
      <w:r w:rsidR="002115F0">
        <w:t>auraient</w:t>
      </w:r>
      <w:r>
        <w:t xml:space="preserve"> pu être</w:t>
      </w:r>
      <w:r w:rsidR="002115F0">
        <w:t xml:space="preserve"> identifiés dans le cadre d</w:t>
      </w:r>
      <w:r w:rsidR="00931A59">
        <w:t>’</w:t>
      </w:r>
      <w:r w:rsidR="002115F0">
        <w:t>un examen plus approfondi</w:t>
      </w:r>
      <w:r>
        <w:t> ; d’où l’avertissement de la Cour sur l’</w:t>
      </w:r>
      <w:r w:rsidR="0002563A">
        <w:t>existence</w:t>
      </w:r>
      <w:r>
        <w:t xml:space="preserve"> d’un risque accru de double financement.</w:t>
      </w:r>
    </w:p>
    <w:p w14:paraId="5B598D54" w14:textId="77777777" w:rsidR="00952137" w:rsidRDefault="00952137" w:rsidP="00EC0CDA">
      <w:pPr>
        <w:rPr>
          <w:u w:val="single"/>
        </w:rPr>
      </w:pPr>
    </w:p>
    <w:p w14:paraId="2DBF00B3" w14:textId="22CADBA8" w:rsidR="00091ADD" w:rsidRDefault="002115F0" w:rsidP="00EC0CDA">
      <w:r>
        <w:rPr>
          <w:u w:val="single"/>
        </w:rPr>
        <w:t xml:space="preserve">Madame la Députée Sam Tanson (sensibilité politique </w:t>
      </w:r>
      <w:r w:rsidR="0002563A">
        <w:rPr>
          <w:u w:val="single"/>
        </w:rPr>
        <w:t>« </w:t>
      </w:r>
      <w:r>
        <w:rPr>
          <w:u w:val="single"/>
        </w:rPr>
        <w:t>déi gréng</w:t>
      </w:r>
      <w:r w:rsidR="0002563A">
        <w:rPr>
          <w:u w:val="single"/>
        </w:rPr>
        <w:t> »</w:t>
      </w:r>
      <w:r>
        <w:rPr>
          <w:u w:val="single"/>
        </w:rPr>
        <w:t>)</w:t>
      </w:r>
      <w:r w:rsidRPr="002049F2">
        <w:t xml:space="preserve"> </w:t>
      </w:r>
      <w:r>
        <w:t>prend la parole pour formuler plusieurs observations et questions. Elle indique avoir été interpellée par le contenu du rapport, qui témoigne selon elle d</w:t>
      </w:r>
      <w:r w:rsidR="00931A59">
        <w:t>’</w:t>
      </w:r>
      <w:r>
        <w:t>une certaine négligence dans la gestion des conventions,</w:t>
      </w:r>
      <w:r w:rsidR="0002563A">
        <w:t xml:space="preserve"> totalement injustifiée </w:t>
      </w:r>
      <w:r>
        <w:t>au regard de l</w:t>
      </w:r>
      <w:r w:rsidR="00931A59">
        <w:t>’</w:t>
      </w:r>
      <w:r>
        <w:t>envergure financière du secteur</w:t>
      </w:r>
      <w:r w:rsidR="00C72836">
        <w:t xml:space="preserve"> ASFT</w:t>
      </w:r>
      <w:r>
        <w:t xml:space="preserve"> (667 millions d</w:t>
      </w:r>
      <w:r w:rsidR="00931A59">
        <w:t>’</w:t>
      </w:r>
      <w:r>
        <w:t xml:space="preserve">euros en 2020). Elle </w:t>
      </w:r>
      <w:r w:rsidR="00091ADD">
        <w:t>pose ensuite un certain nombre de questions :</w:t>
      </w:r>
    </w:p>
    <w:p w14:paraId="3815FFAD" w14:textId="77777777" w:rsidR="00952137" w:rsidRDefault="00952137" w:rsidP="00207F6C"/>
    <w:p w14:paraId="442020AB" w14:textId="3453E009" w:rsidR="002115F0" w:rsidRDefault="00091ADD" w:rsidP="00207F6C">
      <w:pPr>
        <w:pStyle w:val="Paragraphedeliste"/>
        <w:numPr>
          <w:ilvl w:val="0"/>
          <w:numId w:val="7"/>
        </w:numPr>
        <w:ind w:left="284" w:hanging="284"/>
        <w:contextualSpacing w:val="0"/>
      </w:pPr>
      <w:r>
        <w:t xml:space="preserve">Est-ce que la Cour s’est penchée sur </w:t>
      </w:r>
      <w:r w:rsidR="002115F0">
        <w:t>la question de la responsabilité financière et juridique de l</w:t>
      </w:r>
      <w:r w:rsidR="00931A59">
        <w:t>’</w:t>
      </w:r>
      <w:r w:rsidR="002115F0">
        <w:t xml:space="preserve">État </w:t>
      </w:r>
      <w:r w:rsidR="00C72836">
        <w:t xml:space="preserve">en cas de non-respect du </w:t>
      </w:r>
      <w:r w:rsidR="002115F0">
        <w:t>cadre légal</w:t>
      </w:r>
      <w:r>
        <w:t> ?</w:t>
      </w:r>
    </w:p>
    <w:p w14:paraId="2FFD6359" w14:textId="33D577A7" w:rsidR="00091ADD" w:rsidRDefault="00091ADD" w:rsidP="00207F6C">
      <w:pPr>
        <w:pStyle w:val="Paragraphedeliste"/>
        <w:numPr>
          <w:ilvl w:val="0"/>
          <w:numId w:val="7"/>
        </w:numPr>
        <w:ind w:left="284" w:hanging="284"/>
        <w:contextualSpacing w:val="0"/>
      </w:pPr>
      <w:r>
        <w:t xml:space="preserve">Est-ce que la Cour plaide pour une gestion totalement centralisée des conventions conclues dans le </w:t>
      </w:r>
      <w:r w:rsidR="00907336">
        <w:t>secteur</w:t>
      </w:r>
      <w:r>
        <w:t xml:space="preserve"> ASFT ou est-ce que l’hétérogénéité des activités justifie tout de même une gestion décentralisée par plusieurs ministères ?</w:t>
      </w:r>
    </w:p>
    <w:p w14:paraId="59687DB4" w14:textId="55D95CD5" w:rsidR="00091ADD" w:rsidRDefault="00091ADD" w:rsidP="00207F6C">
      <w:pPr>
        <w:pStyle w:val="Paragraphedeliste"/>
        <w:numPr>
          <w:ilvl w:val="0"/>
          <w:numId w:val="7"/>
        </w:numPr>
        <w:ind w:left="284" w:hanging="284"/>
        <w:contextualSpacing w:val="0"/>
      </w:pPr>
      <w:r>
        <w:t>La Cour est-elle d’avis qu’au vu de l’état des effectifs en charge au sein des ministères pour la gestion des conventions, un contrôle effectif est réellement possible ?</w:t>
      </w:r>
    </w:p>
    <w:p w14:paraId="2487FEE1" w14:textId="19A15176" w:rsidR="00091ADD" w:rsidRDefault="00091ADD" w:rsidP="00207F6C">
      <w:pPr>
        <w:pStyle w:val="Paragraphedeliste"/>
        <w:numPr>
          <w:ilvl w:val="0"/>
          <w:numId w:val="7"/>
        </w:numPr>
        <w:ind w:left="284" w:hanging="284"/>
        <w:contextualSpacing w:val="0"/>
      </w:pPr>
      <w:r>
        <w:t>La Cour dispose-t-elle d’informations sur une éventuelle refonte de la Loi ASFT ?</w:t>
      </w:r>
    </w:p>
    <w:p w14:paraId="6FD8BD61" w14:textId="77777777" w:rsidR="00B65E6E" w:rsidRDefault="00091ADD" w:rsidP="00207F6C">
      <w:pPr>
        <w:pStyle w:val="Paragraphedeliste"/>
        <w:numPr>
          <w:ilvl w:val="0"/>
          <w:numId w:val="7"/>
        </w:numPr>
        <w:ind w:left="284" w:hanging="284"/>
        <w:contextualSpacing w:val="0"/>
      </w:pPr>
      <w:r>
        <w:t>Est-ce que la CH sera amenée à analyser les problématiques soulevées par la Cour ?</w:t>
      </w:r>
    </w:p>
    <w:p w14:paraId="1F921085" w14:textId="603BE375" w:rsidR="002115F0" w:rsidRDefault="00694ECD" w:rsidP="00207F6C">
      <w:pPr>
        <w:pStyle w:val="Paragraphedeliste"/>
        <w:numPr>
          <w:ilvl w:val="0"/>
          <w:numId w:val="7"/>
        </w:numPr>
        <w:ind w:left="284" w:hanging="284"/>
        <w:contextualSpacing w:val="0"/>
      </w:pPr>
      <w:r>
        <w:t>V</w:t>
      </w:r>
      <w:r w:rsidR="00B65E6E">
        <w:t xml:space="preserve">u </w:t>
      </w:r>
      <w:r>
        <w:t>le</w:t>
      </w:r>
      <w:r w:rsidR="002115F0">
        <w:t xml:space="preserve"> délai particulièreme</w:t>
      </w:r>
      <w:r w:rsidR="002115F0" w:rsidRPr="00694ECD">
        <w:t>nt long entre l</w:t>
      </w:r>
      <w:r w:rsidR="00091ADD" w:rsidRPr="00694ECD">
        <w:t>a saisine de la Cour par l</w:t>
      </w:r>
      <w:r w:rsidR="00B65E6E" w:rsidRPr="00694ECD">
        <w:t>a</w:t>
      </w:r>
      <w:r w:rsidR="00091ADD" w:rsidRPr="00694ECD">
        <w:t xml:space="preserve"> </w:t>
      </w:r>
      <w:r w:rsidR="00B65E6E" w:rsidRPr="00694ECD">
        <w:t>C</w:t>
      </w:r>
      <w:r w:rsidR="00091ADD" w:rsidRPr="00694ECD">
        <w:t>ommission</w:t>
      </w:r>
      <w:r w:rsidR="00B65E6E" w:rsidRPr="00694ECD">
        <w:t xml:space="preserve"> (2015)</w:t>
      </w:r>
      <w:r w:rsidR="00091ADD" w:rsidRPr="00694ECD">
        <w:t xml:space="preserve"> </w:t>
      </w:r>
      <w:r w:rsidR="002115F0" w:rsidRPr="00694ECD">
        <w:t>et l</w:t>
      </w:r>
      <w:r w:rsidR="00091ADD" w:rsidRPr="00694ECD">
        <w:t>a finalisation</w:t>
      </w:r>
      <w:r w:rsidR="002115F0" w:rsidRPr="00694ECD">
        <w:t xml:space="preserve"> du rapport</w:t>
      </w:r>
      <w:r w:rsidR="00B65E6E" w:rsidRPr="00694ECD">
        <w:t xml:space="preserve"> (2026), </w:t>
      </w:r>
      <w:r>
        <w:t>comment faire en sorte à ce que la Cour puisse à l’avenir finaliser ses travaux dans un plus bref délai</w:t>
      </w:r>
      <w:r w:rsidR="00B65E6E">
        <w:t> ?</w:t>
      </w:r>
    </w:p>
    <w:p w14:paraId="1575397D" w14:textId="54E1C02E" w:rsidR="00136E61" w:rsidRDefault="00136E61" w:rsidP="00EC0CDA">
      <w:r>
        <w:rPr>
          <w:u w:val="single"/>
        </w:rPr>
        <w:lastRenderedPageBreak/>
        <w:t>L</w:t>
      </w:r>
      <w:r w:rsidR="002115F0">
        <w:rPr>
          <w:u w:val="single"/>
        </w:rPr>
        <w:t xml:space="preserve">e </w:t>
      </w:r>
      <w:r>
        <w:rPr>
          <w:u w:val="single"/>
        </w:rPr>
        <w:t>Vice-président</w:t>
      </w:r>
      <w:r w:rsidRPr="00136E61">
        <w:t xml:space="preserve"> </w:t>
      </w:r>
      <w:r w:rsidR="002115F0">
        <w:t>répond sur plusieurs points</w:t>
      </w:r>
      <w:r>
        <w:t> :</w:t>
      </w:r>
    </w:p>
    <w:p w14:paraId="2E8D0E05" w14:textId="77777777" w:rsidR="00952137" w:rsidRDefault="00952137" w:rsidP="00207F6C"/>
    <w:p w14:paraId="7C4F85A2" w14:textId="69C795F7" w:rsidR="00136E61" w:rsidRDefault="002115F0" w:rsidP="00207F6C">
      <w:pPr>
        <w:pStyle w:val="Paragraphedeliste"/>
        <w:numPr>
          <w:ilvl w:val="0"/>
          <w:numId w:val="7"/>
        </w:numPr>
        <w:ind w:left="284" w:hanging="284"/>
      </w:pPr>
      <w:r>
        <w:t>Concernant le délai du rapport</w:t>
      </w:r>
      <w:r w:rsidR="00136E61">
        <w:t xml:space="preserve"> de la Cour</w:t>
      </w:r>
      <w:r>
        <w:t xml:space="preserve">, </w:t>
      </w:r>
      <w:r w:rsidR="00136E61">
        <w:t xml:space="preserve">l’orateur reconnait </w:t>
      </w:r>
      <w:r>
        <w:t>que le présent rapport a effectivement pris plus de temps que prévu, notamment</w:t>
      </w:r>
      <w:r w:rsidR="00694ECD">
        <w:t>,</w:t>
      </w:r>
      <w:r>
        <w:t xml:space="preserve"> en raison de la complexité du dossier</w:t>
      </w:r>
      <w:r w:rsidR="00694ECD">
        <w:t xml:space="preserve"> et</w:t>
      </w:r>
      <w:r>
        <w:t xml:space="preserve"> du volume des entités concernées.</w:t>
      </w:r>
      <w:r w:rsidR="00136E61">
        <w:t xml:space="preserve"> </w:t>
      </w:r>
      <w:r w:rsidR="00694ECD">
        <w:t xml:space="preserve">La </w:t>
      </w:r>
      <w:r w:rsidR="00136E61">
        <w:t xml:space="preserve">durée normale d’un contrôle de la Cour est </w:t>
      </w:r>
      <w:r w:rsidR="00694ECD">
        <w:t xml:space="preserve">généralement </w:t>
      </w:r>
      <w:r w:rsidR="00136E61">
        <w:t xml:space="preserve">estimée à environ dix-huit mois. </w:t>
      </w:r>
      <w:r w:rsidR="000B3891">
        <w:t xml:space="preserve">Cela dit, il </w:t>
      </w:r>
      <w:r w:rsidR="00136E61">
        <w:t xml:space="preserve">informe que la Cour envisage de réaliser un suivi du présent contrôle dans </w:t>
      </w:r>
      <w:r>
        <w:t>trois ans</w:t>
      </w:r>
      <w:r w:rsidR="000B3891">
        <w:t>. Ce sera notamment l’occasion de revoir les questions d’harmonisation et de digitalisation des pratiques.</w:t>
      </w:r>
    </w:p>
    <w:p w14:paraId="06E0915A" w14:textId="77777777" w:rsidR="00952137" w:rsidRDefault="00952137" w:rsidP="00207F6C">
      <w:pPr>
        <w:ind w:left="284" w:hanging="284"/>
      </w:pPr>
    </w:p>
    <w:p w14:paraId="5FA5E4AD" w14:textId="064B03E1" w:rsidR="000B3891" w:rsidRDefault="002115F0" w:rsidP="00207F6C">
      <w:pPr>
        <w:pStyle w:val="Paragraphedeliste"/>
        <w:numPr>
          <w:ilvl w:val="0"/>
          <w:numId w:val="7"/>
        </w:numPr>
        <w:ind w:left="284" w:hanging="284"/>
      </w:pPr>
      <w:r>
        <w:t>Sur l</w:t>
      </w:r>
      <w:r w:rsidR="00931A59">
        <w:t>’</w:t>
      </w:r>
      <w:r>
        <w:t>effectivité du contrôle</w:t>
      </w:r>
      <w:r w:rsidR="000B3891">
        <w:t xml:space="preserve"> par les ministères</w:t>
      </w:r>
      <w:r>
        <w:t xml:space="preserve">, il observe que des progrès ont </w:t>
      </w:r>
      <w:r w:rsidR="00694ECD">
        <w:t xml:space="preserve">d’ores et déjà </w:t>
      </w:r>
      <w:r>
        <w:t>été accomplis</w:t>
      </w:r>
      <w:r w:rsidR="000B3891">
        <w:t xml:space="preserve"> par </w:t>
      </w:r>
      <w:r w:rsidR="00694ECD">
        <w:t xml:space="preserve">les ministères à la suite du </w:t>
      </w:r>
      <w:r w:rsidR="000B3891">
        <w:t xml:space="preserve">contrôle de la Cour. Cela dit, </w:t>
      </w:r>
      <w:r w:rsidR="00694ECD">
        <w:t>l’orateur précise que, dans le cadre de leurs contrôles, certains</w:t>
      </w:r>
      <w:r>
        <w:t xml:space="preserve"> ministères travaillent encore</w:t>
      </w:r>
      <w:r w:rsidR="00694ECD">
        <w:t xml:space="preserve"> </w:t>
      </w:r>
      <w:r>
        <w:t xml:space="preserve">sur des tableaux Excel. </w:t>
      </w:r>
    </w:p>
    <w:p w14:paraId="5B35CD38" w14:textId="77777777" w:rsidR="00952137" w:rsidRDefault="00952137" w:rsidP="00207F6C">
      <w:pPr>
        <w:ind w:left="284" w:hanging="284"/>
      </w:pPr>
    </w:p>
    <w:p w14:paraId="5CEEEDAB" w14:textId="51F91209" w:rsidR="004067A8" w:rsidRDefault="002115F0" w:rsidP="00207F6C">
      <w:pPr>
        <w:pStyle w:val="Paragraphedeliste"/>
        <w:numPr>
          <w:ilvl w:val="0"/>
          <w:numId w:val="7"/>
        </w:numPr>
        <w:ind w:left="284" w:hanging="284"/>
      </w:pPr>
      <w:r>
        <w:t>Sur la responsabilité juridique de l</w:t>
      </w:r>
      <w:r w:rsidR="00931A59">
        <w:t>’</w:t>
      </w:r>
      <w:r>
        <w:t>État, il indique que cette question n</w:t>
      </w:r>
      <w:r w:rsidR="00931A59">
        <w:t>’</w:t>
      </w:r>
      <w:r>
        <w:t>a pas été formellement examinée dans le cadre du présent rapport, mais qu</w:t>
      </w:r>
      <w:r w:rsidR="004067A8">
        <w:t>’au vu des</w:t>
      </w:r>
      <w:r>
        <w:t xml:space="preserve"> constats </w:t>
      </w:r>
      <w:r w:rsidR="004067A8">
        <w:t>relatifs à l</w:t>
      </w:r>
      <w:r w:rsidR="00931A59">
        <w:t>’</w:t>
      </w:r>
      <w:r>
        <w:t>absence de documents réglementaires</w:t>
      </w:r>
      <w:r w:rsidR="004067A8">
        <w:t xml:space="preserve"> notamment</w:t>
      </w:r>
      <w:r>
        <w:t xml:space="preserve"> dans </w:t>
      </w:r>
      <w:r w:rsidR="004067A8">
        <w:t>de</w:t>
      </w:r>
      <w:r>
        <w:t xml:space="preserve">s dossiers </w:t>
      </w:r>
      <w:r w:rsidR="004067A8">
        <w:t>en lien avec la petite enfance</w:t>
      </w:r>
      <w:r>
        <w:t>,</w:t>
      </w:r>
      <w:r w:rsidR="004067A8">
        <w:t xml:space="preserve"> il est évident que</w:t>
      </w:r>
      <w:r>
        <w:t xml:space="preserve"> </w:t>
      </w:r>
      <w:r w:rsidR="004067A8">
        <w:t>des questions d</w:t>
      </w:r>
      <w:r>
        <w:t>e responsabilité</w:t>
      </w:r>
      <w:r w:rsidR="004067A8">
        <w:t xml:space="preserve"> se posent.</w:t>
      </w:r>
    </w:p>
    <w:p w14:paraId="4C380BE4" w14:textId="77777777" w:rsidR="00952137" w:rsidRDefault="00952137" w:rsidP="00207F6C">
      <w:pPr>
        <w:ind w:left="284" w:hanging="284"/>
      </w:pPr>
    </w:p>
    <w:p w14:paraId="2F026DEF" w14:textId="48003D2F" w:rsidR="004067A8" w:rsidRDefault="002115F0" w:rsidP="00207F6C">
      <w:pPr>
        <w:pStyle w:val="Paragraphedeliste"/>
        <w:numPr>
          <w:ilvl w:val="0"/>
          <w:numId w:val="7"/>
        </w:numPr>
        <w:ind w:left="284" w:hanging="284"/>
      </w:pPr>
      <w:r>
        <w:t>Sur l</w:t>
      </w:r>
      <w:r w:rsidR="00931A59">
        <w:t>’</w:t>
      </w:r>
      <w:r>
        <w:t>opportunité d</w:t>
      </w:r>
      <w:r w:rsidR="00931A59">
        <w:t>’</w:t>
      </w:r>
      <w:r>
        <w:t xml:space="preserve">une </w:t>
      </w:r>
      <w:r w:rsidR="004067A8">
        <w:t>gestion centralisée</w:t>
      </w:r>
      <w:r>
        <w:t xml:space="preserve">, </w:t>
      </w:r>
      <w:r w:rsidR="004067A8">
        <w:t>l’orateur</w:t>
      </w:r>
      <w:r>
        <w:t xml:space="preserve"> estime qu</w:t>
      </w:r>
      <w:r w:rsidR="004067A8">
        <w:t>’il y a lieu de trouver un juste équilibre entre conférer la gestion de l’ensemble du secteur ASFT à un</w:t>
      </w:r>
      <w:r>
        <w:t xml:space="preserve"> seul </w:t>
      </w:r>
      <w:r w:rsidR="004067A8">
        <w:t>acteur étatique</w:t>
      </w:r>
      <w:r>
        <w:t xml:space="preserve"> </w:t>
      </w:r>
      <w:r w:rsidR="004067A8">
        <w:t>et</w:t>
      </w:r>
      <w:r>
        <w:t xml:space="preserve"> maintenir </w:t>
      </w:r>
      <w:r w:rsidR="004067A8">
        <w:t xml:space="preserve">l’approche décentralisée actuelle impliquant </w:t>
      </w:r>
      <w:r>
        <w:t>quatre ministères avec, au total, dix divisions et autant de règlements et procédures distincts. Des solutions intermédiaires, visant à harmoniser les approches tout en conservant une certaine spécialisation, mériteraient d</w:t>
      </w:r>
      <w:r w:rsidR="00931A59">
        <w:t>’</w:t>
      </w:r>
      <w:r>
        <w:t xml:space="preserve">être explorées. </w:t>
      </w:r>
    </w:p>
    <w:p w14:paraId="46D05328" w14:textId="77777777" w:rsidR="00952137" w:rsidRDefault="00952137" w:rsidP="00207F6C">
      <w:pPr>
        <w:ind w:left="284" w:hanging="284"/>
      </w:pPr>
    </w:p>
    <w:p w14:paraId="668273DB" w14:textId="7DABE72B" w:rsidR="002115F0" w:rsidRDefault="00FA7771" w:rsidP="00207F6C">
      <w:pPr>
        <w:pStyle w:val="Paragraphedeliste"/>
        <w:numPr>
          <w:ilvl w:val="0"/>
          <w:numId w:val="7"/>
        </w:numPr>
        <w:ind w:left="284" w:hanging="284"/>
      </w:pPr>
      <w:r>
        <w:t xml:space="preserve">Enfin, l’orateur </w:t>
      </w:r>
      <w:r w:rsidR="002115F0">
        <w:t>fait référence au protocole d</w:t>
      </w:r>
      <w:r w:rsidR="00931A59">
        <w:t>’</w:t>
      </w:r>
      <w:r w:rsidR="002115F0">
        <w:t xml:space="preserve">entente signé </w:t>
      </w:r>
      <w:r>
        <w:t>entre la</w:t>
      </w:r>
      <w:r w:rsidR="002115F0">
        <w:t xml:space="preserve"> </w:t>
      </w:r>
      <w:r w:rsidRPr="00FA7771">
        <w:t xml:space="preserve">Fédération des acteurs du secteur social au Luxembourg </w:t>
      </w:r>
      <w:r>
        <w:t>(ci-après « </w:t>
      </w:r>
      <w:r w:rsidR="002115F0">
        <w:t>FEDAS</w:t>
      </w:r>
      <w:r>
        <w:t> »)</w:t>
      </w:r>
      <w:r w:rsidR="002115F0">
        <w:t xml:space="preserve"> </w:t>
      </w:r>
      <w:r>
        <w:t xml:space="preserve">et sept ministères </w:t>
      </w:r>
      <w:r w:rsidR="002115F0">
        <w:t xml:space="preserve">en 2025, dans le cadre duquel des groupes de travail ont été mis en place pour </w:t>
      </w:r>
      <w:r w:rsidR="00872A82">
        <w:t>aborder</w:t>
      </w:r>
      <w:r w:rsidR="002115F0">
        <w:t>, entre autres, les questions d</w:t>
      </w:r>
      <w:r w:rsidR="00931A59">
        <w:t>’</w:t>
      </w:r>
      <w:r w:rsidR="002115F0">
        <w:t>harmonisation</w:t>
      </w:r>
      <w:r>
        <w:t xml:space="preserve">, </w:t>
      </w:r>
      <w:r w:rsidR="002115F0">
        <w:t>de digitalisatio</w:t>
      </w:r>
      <w:r>
        <w:t>n</w:t>
      </w:r>
      <w:r w:rsidR="00872A82">
        <w:t xml:space="preserve">, </w:t>
      </w:r>
      <w:r>
        <w:t xml:space="preserve">de financement et de contrôle. Le suivi du contrôle </w:t>
      </w:r>
      <w:r w:rsidR="00872A82">
        <w:t xml:space="preserve">de la Cour </w:t>
      </w:r>
      <w:r>
        <w:t xml:space="preserve">dans trois ans sera donc l’occasion pour </w:t>
      </w:r>
      <w:r w:rsidR="00872A82">
        <w:t>examiner</w:t>
      </w:r>
      <w:r>
        <w:t xml:space="preserve"> l’état d’avancement de ces travaux. </w:t>
      </w:r>
    </w:p>
    <w:p w14:paraId="71B911F8" w14:textId="77777777" w:rsidR="00952137" w:rsidRDefault="00952137" w:rsidP="00EC0CDA">
      <w:pPr>
        <w:rPr>
          <w:u w:val="single"/>
        </w:rPr>
      </w:pPr>
    </w:p>
    <w:p w14:paraId="5B8DB789" w14:textId="3A6FE536" w:rsidR="002115F0" w:rsidRDefault="002115F0" w:rsidP="00207F6C">
      <w:r>
        <w:rPr>
          <w:u w:val="single"/>
        </w:rPr>
        <w:t>Monsieur le Député André Bauler (groupe politique démocratique)</w:t>
      </w:r>
      <w:r w:rsidRPr="00872A82">
        <w:t xml:space="preserve"> </w:t>
      </w:r>
      <w:r>
        <w:t>prend la parole</w:t>
      </w:r>
      <w:r w:rsidR="002049F2">
        <w:t xml:space="preserve"> pour</w:t>
      </w:r>
      <w:r>
        <w:t xml:space="preserve"> souligne</w:t>
      </w:r>
      <w:r w:rsidR="002049F2">
        <w:t>r</w:t>
      </w:r>
      <w:r>
        <w:t xml:space="preserve"> que le rapport met en évidence de nombreux aspects devant encore </w:t>
      </w:r>
      <w:r w:rsidR="002049F2">
        <w:t>être améliorés dans la gestion du secteur ASFT</w:t>
      </w:r>
      <w:r>
        <w:t xml:space="preserve"> et que le</w:t>
      </w:r>
      <w:r w:rsidR="002049F2">
        <w:t xml:space="preserve"> risque</w:t>
      </w:r>
      <w:r>
        <w:t xml:space="preserve"> </w:t>
      </w:r>
      <w:r w:rsidR="00C956D4">
        <w:t xml:space="preserve">du </w:t>
      </w:r>
      <w:r>
        <w:t xml:space="preserve">double financement </w:t>
      </w:r>
      <w:r w:rsidR="002049F2">
        <w:t>représente</w:t>
      </w:r>
      <w:r>
        <w:t xml:space="preserve"> </w:t>
      </w:r>
      <w:r w:rsidR="002049F2">
        <w:t xml:space="preserve">évidemment </w:t>
      </w:r>
      <w:r>
        <w:t>une situation inacceptable</w:t>
      </w:r>
      <w:r w:rsidR="002049F2">
        <w:t xml:space="preserve"> qu’il y a lieu de remédier</w:t>
      </w:r>
      <w:r>
        <w:t>. I</w:t>
      </w:r>
      <w:r w:rsidR="00FD1B0F">
        <w:t>I aimerait ensuite avoir plus d’informations sur</w:t>
      </w:r>
      <w:r>
        <w:t xml:space="preserve"> les liens </w:t>
      </w:r>
      <w:r w:rsidR="00A46A96">
        <w:t xml:space="preserve">et le degré de complémentarité </w:t>
      </w:r>
      <w:r>
        <w:t>entre le</w:t>
      </w:r>
      <w:r w:rsidR="00FD1B0F">
        <w:t>s</w:t>
      </w:r>
      <w:r>
        <w:t xml:space="preserve"> contrôle</w:t>
      </w:r>
      <w:r w:rsidR="00FD1B0F">
        <w:t>s</w:t>
      </w:r>
      <w:r>
        <w:t xml:space="preserve"> exercé</w:t>
      </w:r>
      <w:r w:rsidR="00FD1B0F">
        <w:t>s</w:t>
      </w:r>
      <w:r>
        <w:t xml:space="preserve"> </w:t>
      </w:r>
      <w:r w:rsidR="00A46A96">
        <w:t>par 1)</w:t>
      </w:r>
      <w:r>
        <w:t xml:space="preserve"> les agents ministériels</w:t>
      </w:r>
      <w:r w:rsidR="002049F2">
        <w:t>,</w:t>
      </w:r>
      <w:r w:rsidR="00FD1B0F">
        <w:t xml:space="preserve"> et</w:t>
      </w:r>
      <w:r w:rsidR="002049F2">
        <w:t xml:space="preserve"> </w:t>
      </w:r>
      <w:r w:rsidR="00A46A96">
        <w:t>2)</w:t>
      </w:r>
      <w:r w:rsidR="002049F2">
        <w:t xml:space="preserve"> </w:t>
      </w:r>
      <w:r>
        <w:t>les réviseurs d</w:t>
      </w:r>
      <w:r w:rsidR="00931A59">
        <w:t>’</w:t>
      </w:r>
      <w:r>
        <w:t>entreprises</w:t>
      </w:r>
      <w:r w:rsidR="00FD1B0F">
        <w:t>.</w:t>
      </w:r>
    </w:p>
    <w:p w14:paraId="730556BC" w14:textId="77777777" w:rsidR="00952137" w:rsidRDefault="00952137" w:rsidP="00EC0CDA">
      <w:pPr>
        <w:rPr>
          <w:u w:val="single"/>
        </w:rPr>
      </w:pPr>
    </w:p>
    <w:p w14:paraId="181CD181" w14:textId="1B10EA9D" w:rsidR="00905EC1" w:rsidRDefault="002115F0" w:rsidP="00207F6C">
      <w:r>
        <w:rPr>
          <w:u w:val="single"/>
        </w:rPr>
        <w:t xml:space="preserve">Le </w:t>
      </w:r>
      <w:r w:rsidR="00FD1B0F">
        <w:rPr>
          <w:u w:val="single"/>
        </w:rPr>
        <w:t>Vice-président</w:t>
      </w:r>
      <w:r w:rsidRPr="00FD1B0F">
        <w:t xml:space="preserve"> </w:t>
      </w:r>
      <w:r>
        <w:t>explique que les</w:t>
      </w:r>
      <w:r w:rsidR="00FD1B0F">
        <w:t xml:space="preserve"> deux</w:t>
      </w:r>
      <w:r>
        <w:t xml:space="preserve"> contrôle</w:t>
      </w:r>
      <w:r w:rsidR="00FD1B0F">
        <w:t>s</w:t>
      </w:r>
      <w:r>
        <w:t xml:space="preserve"> sont de nature différente et complémentaires. Le réviseur d</w:t>
      </w:r>
      <w:r w:rsidR="00931A59">
        <w:t>’</w:t>
      </w:r>
      <w:r>
        <w:t xml:space="preserve">entreprises </w:t>
      </w:r>
      <w:r w:rsidR="005C2B4C">
        <w:t xml:space="preserve">procède </w:t>
      </w:r>
      <w:r>
        <w:t>à un audit financier classique</w:t>
      </w:r>
      <w:r w:rsidR="00FD1B0F">
        <w:t xml:space="preserve">, dans le sens où </w:t>
      </w:r>
      <w:r>
        <w:t>il vérifie la véracité des chiffres</w:t>
      </w:r>
      <w:r w:rsidR="00FD1B0F">
        <w:t xml:space="preserve"> et</w:t>
      </w:r>
      <w:r>
        <w:t xml:space="preserve"> leur correct </w:t>
      </w:r>
      <w:r w:rsidR="00FD1B0F">
        <w:t>encodage</w:t>
      </w:r>
      <w:r>
        <w:t xml:space="preserve"> comptable</w:t>
      </w:r>
      <w:r w:rsidR="00FD1B0F">
        <w:t>. Le réviseur d’entreprise</w:t>
      </w:r>
      <w:r>
        <w:t xml:space="preserve"> n</w:t>
      </w:r>
      <w:r w:rsidR="00931A59">
        <w:t>’</w:t>
      </w:r>
      <w:r>
        <w:t>examine</w:t>
      </w:r>
      <w:r w:rsidR="00FD1B0F">
        <w:t xml:space="preserve"> toutefois</w:t>
      </w:r>
      <w:r>
        <w:t xml:space="preserve"> pas l</w:t>
      </w:r>
      <w:r w:rsidR="00931A59">
        <w:t>’</w:t>
      </w:r>
      <w:r>
        <w:t>éligibilité des dépenses par rapport aux critères de la convention</w:t>
      </w:r>
      <w:r w:rsidR="005C2B4C">
        <w:t xml:space="preserve"> ou la Loi ASFT</w:t>
      </w:r>
      <w:r>
        <w:t xml:space="preserve">. Cette dernière vérification incombe au ministère, qui contrôle si les dépenses relevées dans le décompte correspondent </w:t>
      </w:r>
      <w:r w:rsidR="00905EC1">
        <w:t>à ce qui a été convenu</w:t>
      </w:r>
      <w:r w:rsidR="005C2B4C">
        <w:t>.</w:t>
      </w:r>
    </w:p>
    <w:p w14:paraId="3BFEC2D6" w14:textId="77777777" w:rsidR="00952137" w:rsidRDefault="00952137" w:rsidP="00EC0CDA">
      <w:pPr>
        <w:rPr>
          <w:u w:val="single"/>
        </w:rPr>
      </w:pPr>
    </w:p>
    <w:p w14:paraId="66C6DDCE" w14:textId="286168D0" w:rsidR="002115F0" w:rsidRDefault="00905EC1" w:rsidP="00207F6C">
      <w:r w:rsidRPr="00905EC1">
        <w:rPr>
          <w:u w:val="single"/>
        </w:rPr>
        <w:t>Le Président</w:t>
      </w:r>
      <w:r>
        <w:t xml:space="preserve"> précise encore</w:t>
      </w:r>
      <w:r w:rsidR="002115F0">
        <w:t xml:space="preserve"> que</w:t>
      </w:r>
      <w:r w:rsidR="005C2B4C">
        <w:t>,</w:t>
      </w:r>
      <w:r w:rsidR="002115F0">
        <w:t xml:space="preserve"> dans certains cas, des </w:t>
      </w:r>
      <w:r>
        <w:t xml:space="preserve">audits </w:t>
      </w:r>
      <w:r w:rsidR="002115F0">
        <w:t>spécifiques peuvent être confiés à des cabinets extérieurs pour contrôler la conformité d</w:t>
      </w:r>
      <w:r w:rsidR="00931A59">
        <w:t>’</w:t>
      </w:r>
      <w:r w:rsidR="002115F0">
        <w:t>un dossier particulier.</w:t>
      </w:r>
    </w:p>
    <w:p w14:paraId="0E7216C1" w14:textId="77777777" w:rsidR="00952137" w:rsidRDefault="00952137" w:rsidP="00EC0CDA">
      <w:pPr>
        <w:rPr>
          <w:u w:val="single"/>
        </w:rPr>
      </w:pPr>
    </w:p>
    <w:p w14:paraId="61A18D9B" w14:textId="4E397CB5" w:rsidR="002115F0" w:rsidRDefault="002115F0" w:rsidP="00207F6C">
      <w:r>
        <w:rPr>
          <w:u w:val="single"/>
        </w:rPr>
        <w:t>Monsieur le Dé</w:t>
      </w:r>
      <w:r w:rsidRPr="005C2B4C">
        <w:rPr>
          <w:u w:val="single"/>
        </w:rPr>
        <w:t>puté Marc Goergen (</w:t>
      </w:r>
      <w:r w:rsidR="00905EC1" w:rsidRPr="005C2B4C">
        <w:rPr>
          <w:u w:val="single"/>
        </w:rPr>
        <w:t>sens</w:t>
      </w:r>
      <w:r w:rsidR="00D02A2F">
        <w:rPr>
          <w:u w:val="single"/>
        </w:rPr>
        <w:t>i</w:t>
      </w:r>
      <w:r w:rsidR="00905EC1" w:rsidRPr="005C2B4C">
        <w:rPr>
          <w:u w:val="single"/>
        </w:rPr>
        <w:t xml:space="preserve">bilité </w:t>
      </w:r>
      <w:r w:rsidRPr="005C2B4C">
        <w:rPr>
          <w:u w:val="single"/>
        </w:rPr>
        <w:t xml:space="preserve">politique </w:t>
      </w:r>
      <w:r w:rsidR="00905EC1" w:rsidRPr="005C2B4C">
        <w:rPr>
          <w:u w:val="single"/>
        </w:rPr>
        <w:t>« </w:t>
      </w:r>
      <w:r w:rsidRPr="005C2B4C">
        <w:rPr>
          <w:u w:val="single"/>
        </w:rPr>
        <w:t>Piraten</w:t>
      </w:r>
      <w:r w:rsidR="00905EC1" w:rsidRPr="005C2B4C">
        <w:rPr>
          <w:u w:val="single"/>
        </w:rPr>
        <w:t> »</w:t>
      </w:r>
      <w:r w:rsidRPr="005C2B4C">
        <w:rPr>
          <w:u w:val="single"/>
        </w:rPr>
        <w:t>)</w:t>
      </w:r>
      <w:r w:rsidRPr="005C2B4C">
        <w:t xml:space="preserve"> prend la parole </w:t>
      </w:r>
      <w:r w:rsidR="00F92E6A" w:rsidRPr="005C2B4C">
        <w:t>pour souligner</w:t>
      </w:r>
      <w:r w:rsidRPr="005C2B4C">
        <w:t xml:space="preserve"> que le secteur </w:t>
      </w:r>
      <w:r w:rsidR="00F92E6A" w:rsidRPr="005C2B4C">
        <w:t xml:space="preserve">ASFT </w:t>
      </w:r>
      <w:r w:rsidRPr="005C2B4C">
        <w:t>a connu</w:t>
      </w:r>
      <w:r>
        <w:t xml:space="preserve"> une croissance importante depuis la période de </w:t>
      </w:r>
      <w:r w:rsidR="00F92E6A">
        <w:t xml:space="preserve">contrôle </w:t>
      </w:r>
      <w:r>
        <w:t>du rapport</w:t>
      </w:r>
      <w:r w:rsidR="00F92E6A">
        <w:t xml:space="preserve"> de la Cour</w:t>
      </w:r>
      <w:r>
        <w:t>, si bien que les enjeux financiers et humains sont aujourd</w:t>
      </w:r>
      <w:r w:rsidR="00931A59">
        <w:t>’</w:t>
      </w:r>
      <w:r>
        <w:t>hui encore plus significatifs. Il s</w:t>
      </w:r>
      <w:r w:rsidR="00931A59">
        <w:t>’</w:t>
      </w:r>
      <w:r>
        <w:t>étonne notamment de l</w:t>
      </w:r>
      <w:r w:rsidR="00931A59">
        <w:t>’</w:t>
      </w:r>
      <w:r>
        <w:t>absence d</w:t>
      </w:r>
      <w:r w:rsidR="00931A59">
        <w:t>’</w:t>
      </w:r>
      <w:r>
        <w:t>u</w:t>
      </w:r>
      <w:r w:rsidR="00E53F6F">
        <w:t>ne plateforme</w:t>
      </w:r>
      <w:r>
        <w:t xml:space="preserve"> informatique </w:t>
      </w:r>
      <w:r>
        <w:lastRenderedPageBreak/>
        <w:t>commun</w:t>
      </w:r>
      <w:r w:rsidR="00E53F6F">
        <w:t>e</w:t>
      </w:r>
      <w:r>
        <w:t>, alors qu</w:t>
      </w:r>
      <w:r w:rsidR="00931A59">
        <w:t>’</w:t>
      </w:r>
      <w:r>
        <w:t xml:space="preserve">un tel outil paraît </w:t>
      </w:r>
      <w:r w:rsidR="00F92E6A">
        <w:t>pour la gestion de</w:t>
      </w:r>
      <w:r w:rsidR="00E53F6F">
        <w:t>s conventions</w:t>
      </w:r>
      <w:r w:rsidR="00F92E6A">
        <w:t xml:space="preserve"> </w:t>
      </w:r>
      <w:r>
        <w:t xml:space="preserve">indispensable. </w:t>
      </w:r>
      <w:proofErr w:type="gramStart"/>
      <w:r w:rsidR="00E53F6F">
        <w:t>Suite à</w:t>
      </w:r>
      <w:proofErr w:type="gramEnd"/>
      <w:r w:rsidR="00E53F6F">
        <w:t xml:space="preserve"> cette remarque préliminaire</w:t>
      </w:r>
      <w:r w:rsidR="00F92E6A">
        <w:t>, il</w:t>
      </w:r>
      <w:r>
        <w:t xml:space="preserve"> pose les questions suivantes :</w:t>
      </w:r>
    </w:p>
    <w:p w14:paraId="048D75ED" w14:textId="77777777" w:rsidR="00952137" w:rsidRDefault="00952137" w:rsidP="00207F6C"/>
    <w:p w14:paraId="0DC26DF8" w14:textId="043DC029" w:rsidR="002115F0" w:rsidRDefault="002115F0" w:rsidP="00207F6C">
      <w:pPr>
        <w:pStyle w:val="Paragraphedeliste"/>
        <w:numPr>
          <w:ilvl w:val="0"/>
          <w:numId w:val="7"/>
        </w:numPr>
        <w:ind w:left="284" w:hanging="284"/>
        <w:contextualSpacing w:val="0"/>
      </w:pPr>
      <w:r>
        <w:t>En ce qui concerne les remboursements des sommes ind</w:t>
      </w:r>
      <w:r w:rsidR="00D02A2F">
        <w:t>û</w:t>
      </w:r>
      <w:r>
        <w:t>ment perçues</w:t>
      </w:r>
      <w:r w:rsidR="00ED7933">
        <w:t xml:space="preserve">, </w:t>
      </w:r>
      <w:r>
        <w:t>est-il exact que certains gestionnaires ont attendu trois à quatre ans avant d</w:t>
      </w:r>
      <w:r w:rsidR="00931A59">
        <w:t>’</w:t>
      </w:r>
      <w:r>
        <w:t>effectuer la restitution, et que l</w:t>
      </w:r>
      <w:r w:rsidR="00931A59">
        <w:t>’</w:t>
      </w:r>
      <w:r>
        <w:t>État n</w:t>
      </w:r>
      <w:r w:rsidR="00931A59">
        <w:t>’</w:t>
      </w:r>
      <w:r>
        <w:t>a pas systématiquement réclamé ces remboursements de façon active ?</w:t>
      </w:r>
    </w:p>
    <w:p w14:paraId="102B59D3" w14:textId="326F001C" w:rsidR="002115F0" w:rsidRDefault="00ED7933" w:rsidP="00207F6C">
      <w:pPr>
        <w:pStyle w:val="Paragraphedeliste"/>
        <w:numPr>
          <w:ilvl w:val="0"/>
          <w:numId w:val="7"/>
        </w:numPr>
        <w:ind w:left="284" w:hanging="284"/>
        <w:contextualSpacing w:val="0"/>
      </w:pPr>
      <w:r>
        <w:t>La</w:t>
      </w:r>
      <w:r w:rsidR="002115F0">
        <w:t xml:space="preserve"> Cour a-t-elle </w:t>
      </w:r>
      <w:r w:rsidR="00BA363B">
        <w:t xml:space="preserve">décelé </w:t>
      </w:r>
      <w:r w:rsidR="002115F0">
        <w:t xml:space="preserve">des situations </w:t>
      </w:r>
      <w:r w:rsidR="00BA363B">
        <w:t>où des</w:t>
      </w:r>
      <w:r>
        <w:t xml:space="preserve"> frais généraux</w:t>
      </w:r>
      <w:r w:rsidR="004355E9">
        <w:t xml:space="preserve"> remboursés par l’</w:t>
      </w:r>
      <w:r w:rsidR="00A304BA">
        <w:t>É</w:t>
      </w:r>
      <w:r w:rsidR="004355E9">
        <w:t>tat</w:t>
      </w:r>
      <w:r w:rsidR="00BA363B">
        <w:t xml:space="preserve"> incorporaient des</w:t>
      </w:r>
      <w:r w:rsidR="005C2B4C">
        <w:t xml:space="preserve"> charges locatives</w:t>
      </w:r>
      <w:r>
        <w:t> ? Dans ce contexte, l’orateur fait référence à des situations où</w:t>
      </w:r>
      <w:r w:rsidR="002115F0">
        <w:t xml:space="preserve"> le propriétaire </w:t>
      </w:r>
      <w:r w:rsidR="004355E9">
        <w:t>d’un bâtiment</w:t>
      </w:r>
      <w:r w:rsidR="002115F0">
        <w:t xml:space="preserve"> et la société gérante </w:t>
      </w:r>
      <w:r w:rsidR="004355E9">
        <w:t>relèvent du</w:t>
      </w:r>
      <w:r>
        <w:t xml:space="preserve"> même bénéficiaire.</w:t>
      </w:r>
    </w:p>
    <w:p w14:paraId="201BA2E9" w14:textId="1A0B7931" w:rsidR="004355E9" w:rsidRPr="008627BF" w:rsidRDefault="004355E9" w:rsidP="00207F6C">
      <w:pPr>
        <w:pStyle w:val="Paragraphedeliste"/>
        <w:numPr>
          <w:ilvl w:val="0"/>
          <w:numId w:val="7"/>
        </w:numPr>
        <w:ind w:left="284" w:hanging="284"/>
        <w:contextualSpacing w:val="0"/>
      </w:pPr>
      <w:r>
        <w:t>La Co</w:t>
      </w:r>
      <w:r w:rsidRPr="008627BF">
        <w:t>ur a-t-elle vérifié la pratique des</w:t>
      </w:r>
      <w:r w:rsidR="002115F0" w:rsidRPr="008627BF">
        <w:t xml:space="preserve"> </w:t>
      </w:r>
      <w:r w:rsidR="00641F95" w:rsidRPr="008627BF">
        <w:t>chèques-service</w:t>
      </w:r>
      <w:r w:rsidRPr="008627BF">
        <w:t xml:space="preserve"> et aurait</w:t>
      </w:r>
      <w:r w:rsidR="00260C61" w:rsidRPr="008627BF">
        <w:t>-elle</w:t>
      </w:r>
      <w:r w:rsidRPr="008627BF">
        <w:t>, le cas échéant, décelé un risque de double financement</w:t>
      </w:r>
      <w:r w:rsidR="00A304BA">
        <w:t> </w:t>
      </w:r>
      <w:r w:rsidR="002115F0" w:rsidRPr="008627BF">
        <w:t>?</w:t>
      </w:r>
      <w:r w:rsidRPr="008627BF">
        <w:t xml:space="preserve"> </w:t>
      </w:r>
    </w:p>
    <w:p w14:paraId="22EB3F9C" w14:textId="77777777" w:rsidR="00952137" w:rsidRDefault="00952137" w:rsidP="00EC0CDA">
      <w:pPr>
        <w:rPr>
          <w:u w:val="single"/>
        </w:rPr>
      </w:pPr>
    </w:p>
    <w:p w14:paraId="3487AA6C" w14:textId="313D9789" w:rsidR="008627BF" w:rsidRPr="008627BF" w:rsidRDefault="002115F0" w:rsidP="00207F6C">
      <w:r w:rsidRPr="008627BF">
        <w:rPr>
          <w:u w:val="single"/>
        </w:rPr>
        <w:t>Le représentant de la Cour</w:t>
      </w:r>
      <w:r w:rsidRPr="00CD18AF">
        <w:t xml:space="preserve"> </w:t>
      </w:r>
      <w:r w:rsidRPr="008627BF">
        <w:t>apporte les réponses suivantes</w:t>
      </w:r>
      <w:r w:rsidR="008627BF" w:rsidRPr="008627BF">
        <w:t> :</w:t>
      </w:r>
    </w:p>
    <w:p w14:paraId="39907BC7" w14:textId="77777777" w:rsidR="00952137" w:rsidRDefault="00952137" w:rsidP="00207F6C">
      <w:pPr>
        <w:pStyle w:val="Paragraphedeliste"/>
        <w:ind w:left="0"/>
      </w:pPr>
    </w:p>
    <w:p w14:paraId="58092991" w14:textId="1C3F0ADD" w:rsidR="008627BF" w:rsidRDefault="008627BF" w:rsidP="00207F6C">
      <w:pPr>
        <w:pStyle w:val="Paragraphedeliste"/>
        <w:numPr>
          <w:ilvl w:val="0"/>
          <w:numId w:val="7"/>
        </w:numPr>
        <w:ind w:left="284" w:hanging="284"/>
      </w:pPr>
      <w:r w:rsidRPr="008627BF">
        <w:t>En ce qui concerne la question des chèques-service, l’orateur précise qu’elle n’a pas fait l’objet d’un contrôle détaillé. Les montants concernés sont</w:t>
      </w:r>
      <w:r w:rsidR="00E47CC4">
        <w:t>,</w:t>
      </w:r>
      <w:r w:rsidRPr="008627BF">
        <w:t xml:space="preserve"> en effet</w:t>
      </w:r>
      <w:r w:rsidR="00E47CC4">
        <w:t>,</w:t>
      </w:r>
      <w:r w:rsidRPr="008627BF">
        <w:t xml:space="preserve"> incorporés dans les montants globaux analysés.</w:t>
      </w:r>
    </w:p>
    <w:p w14:paraId="106CDFC4" w14:textId="67A37DD3" w:rsidR="00E47CC4" w:rsidRDefault="00E47CC4" w:rsidP="00207F6C">
      <w:pPr>
        <w:pStyle w:val="Paragraphedeliste"/>
        <w:numPr>
          <w:ilvl w:val="0"/>
          <w:numId w:val="7"/>
        </w:numPr>
        <w:ind w:left="284" w:hanging="284"/>
      </w:pPr>
      <w:r>
        <w:t xml:space="preserve">Pour ce qui est de la question des </w:t>
      </w:r>
      <w:r w:rsidR="00CD18AF">
        <w:t>charges locatives</w:t>
      </w:r>
      <w:r>
        <w:t xml:space="preserve"> incorporé</w:t>
      </w:r>
      <w:r w:rsidR="00CD18AF">
        <w:t>e</w:t>
      </w:r>
      <w:r>
        <w:t xml:space="preserve">s dans les frais généraux, la Cour n’a relevé aucune anomalie particulière. </w:t>
      </w:r>
    </w:p>
    <w:p w14:paraId="24531B09" w14:textId="78046DE6" w:rsidR="008627BF" w:rsidRDefault="00CD18AF" w:rsidP="00207F6C">
      <w:pPr>
        <w:pStyle w:val="Paragraphedeliste"/>
        <w:numPr>
          <w:ilvl w:val="0"/>
          <w:numId w:val="7"/>
        </w:numPr>
        <w:ind w:left="284" w:hanging="284"/>
      </w:pPr>
      <w:r>
        <w:t>En</w:t>
      </w:r>
      <w:r w:rsidR="008031B4" w:rsidRPr="008031B4">
        <w:t xml:space="preserve"> réponse à la question sur </w:t>
      </w:r>
      <w:r w:rsidR="002115F0" w:rsidRPr="008031B4">
        <w:t>les remboursements, l</w:t>
      </w:r>
      <w:r w:rsidR="008031B4">
        <w:t>’orateur précise que le</w:t>
      </w:r>
      <w:r w:rsidR="002115F0" w:rsidRPr="008031B4">
        <w:t xml:space="preserve"> co</w:t>
      </w:r>
      <w:r w:rsidR="002115F0">
        <w:t>ntrôle a relevé un seul cas concret où un gestionnaire n</w:t>
      </w:r>
      <w:r w:rsidR="00931A59">
        <w:t>’</w:t>
      </w:r>
      <w:r w:rsidR="002115F0">
        <w:t>avait pas restitué un solde en faveur de l</w:t>
      </w:r>
      <w:r w:rsidR="00931A59">
        <w:t>’</w:t>
      </w:r>
      <w:r w:rsidR="002115F0">
        <w:t xml:space="preserve">État </w:t>
      </w:r>
      <w:r w:rsidR="008031B4">
        <w:t>dans le contexte des</w:t>
      </w:r>
      <w:r w:rsidR="002115F0">
        <w:t xml:space="preserve"> décompte</w:t>
      </w:r>
      <w:r w:rsidR="008031B4">
        <w:t>s pour l’exercice</w:t>
      </w:r>
      <w:r w:rsidR="002115F0">
        <w:t xml:space="preserve"> 2019</w:t>
      </w:r>
      <w:r w:rsidR="008031B4">
        <w:t>.</w:t>
      </w:r>
      <w:r w:rsidR="002115F0">
        <w:t xml:space="preserve"> </w:t>
      </w:r>
      <w:r w:rsidR="008031B4">
        <w:t>C</w:t>
      </w:r>
      <w:r w:rsidR="002115F0">
        <w:t>e cas a été détecté lors d</w:t>
      </w:r>
      <w:r w:rsidR="008031B4">
        <w:t>’une</w:t>
      </w:r>
      <w:r w:rsidR="002115F0">
        <w:t xml:space="preserve"> visite sur place</w:t>
      </w:r>
      <w:r w:rsidR="008031B4">
        <w:t xml:space="preserve"> de la Cour</w:t>
      </w:r>
      <w:r w:rsidR="002115F0">
        <w:t xml:space="preserve"> en 2022 et</w:t>
      </w:r>
      <w:r w:rsidR="008031B4">
        <w:t xml:space="preserve"> a été</w:t>
      </w:r>
      <w:r w:rsidR="002115F0">
        <w:t xml:space="preserve"> réglé à la suite du contrôle. </w:t>
      </w:r>
      <w:r w:rsidR="00BE4828">
        <w:t>Le Vice-président confirme</w:t>
      </w:r>
      <w:r w:rsidR="002115F0">
        <w:t xml:space="preserve"> qu</w:t>
      </w:r>
      <w:r w:rsidR="00931A59">
        <w:t>’</w:t>
      </w:r>
      <w:r w:rsidR="002115F0">
        <w:t>il n</w:t>
      </w:r>
      <w:r w:rsidR="00931A59">
        <w:t>’</w:t>
      </w:r>
      <w:r w:rsidR="002115F0">
        <w:t>existe pas de mécanisme automatique de déduction</w:t>
      </w:r>
      <w:r w:rsidR="00BE4828">
        <w:t xml:space="preserve"> de montants indûment perçus sur les</w:t>
      </w:r>
      <w:r w:rsidR="002115F0">
        <w:t xml:space="preserve"> avances</w:t>
      </w:r>
      <w:r w:rsidR="004261C5">
        <w:t> </w:t>
      </w:r>
      <w:r w:rsidR="002115F0">
        <w:t>: les avances sont</w:t>
      </w:r>
      <w:r w:rsidR="00BE4828">
        <w:t>, en effet,</w:t>
      </w:r>
      <w:r w:rsidR="002115F0">
        <w:t xml:space="preserve"> versées en cours d</w:t>
      </w:r>
      <w:r w:rsidR="00931A59">
        <w:t>’</w:t>
      </w:r>
      <w:r w:rsidR="002115F0">
        <w:t>année et l</w:t>
      </w:r>
      <w:r w:rsidR="006C66A3">
        <w:t xml:space="preserve">es </w:t>
      </w:r>
      <w:r w:rsidR="002115F0">
        <w:t>régularisation</w:t>
      </w:r>
      <w:r w:rsidR="006C66A3">
        <w:t>s</w:t>
      </w:r>
      <w:r w:rsidR="002115F0">
        <w:t xml:space="preserve"> intervien</w:t>
      </w:r>
      <w:r w:rsidR="006C66A3">
        <w:t>nen</w:t>
      </w:r>
      <w:r w:rsidR="002115F0">
        <w:t xml:space="preserve">t </w:t>
      </w:r>
      <w:r w:rsidR="002115F0" w:rsidRPr="006C66A3">
        <w:rPr>
          <w:i/>
          <w:iCs/>
        </w:rPr>
        <w:t>via</w:t>
      </w:r>
      <w:r w:rsidR="002115F0">
        <w:t xml:space="preserve"> le décompte annuel</w:t>
      </w:r>
      <w:r w:rsidR="006C66A3">
        <w:t>, qui est transmis par le gestionnaire</w:t>
      </w:r>
      <w:r w:rsidR="002115F0">
        <w:t xml:space="preserve"> avant le 31 mars de l</w:t>
      </w:r>
      <w:r w:rsidR="00931A59">
        <w:t>’</w:t>
      </w:r>
      <w:r w:rsidR="002115F0">
        <w:t xml:space="preserve">année suivante. </w:t>
      </w:r>
    </w:p>
    <w:p w14:paraId="5C940FE7" w14:textId="77777777" w:rsidR="00EC0CDA" w:rsidRDefault="00EC0CDA" w:rsidP="00EC0CDA"/>
    <w:p w14:paraId="580684CF" w14:textId="16261B24" w:rsidR="002115F0" w:rsidRDefault="006C66A3" w:rsidP="00207F6C">
      <w:r w:rsidRPr="006C66A3">
        <w:t xml:space="preserve">En guise de conclusion de l’échange de vues, </w:t>
      </w:r>
      <w:r>
        <w:rPr>
          <w:u w:val="single"/>
        </w:rPr>
        <w:t xml:space="preserve">Monsieur </w:t>
      </w:r>
      <w:r w:rsidR="00124843">
        <w:rPr>
          <w:u w:val="single"/>
        </w:rPr>
        <w:t xml:space="preserve">Franz </w:t>
      </w:r>
      <w:r>
        <w:rPr>
          <w:u w:val="single"/>
        </w:rPr>
        <w:t>Fayot</w:t>
      </w:r>
      <w:r w:rsidR="002115F0" w:rsidRPr="006C66A3">
        <w:t xml:space="preserve"> </w:t>
      </w:r>
      <w:r w:rsidR="002115F0">
        <w:t>soulève la question d</w:t>
      </w:r>
      <w:r w:rsidR="00335041">
        <w:t>’opportunité d’organiser un</w:t>
      </w:r>
      <w:r w:rsidR="002115F0">
        <w:t xml:space="preserve"> débat d</w:t>
      </w:r>
      <w:r w:rsidR="00931A59">
        <w:t>’</w:t>
      </w:r>
      <w:r w:rsidR="002115F0">
        <w:t>orienta</w:t>
      </w:r>
      <w:r w:rsidR="002115F0" w:rsidRPr="00907336">
        <w:t>tion sur le secteur ASFT</w:t>
      </w:r>
      <w:r w:rsidR="00335041" w:rsidRPr="00907336">
        <w:t>, qui serait basé sur le rapport à rédiger par la Commission et qui pourrait</w:t>
      </w:r>
      <w:r w:rsidR="002115F0" w:rsidRPr="00907336">
        <w:t xml:space="preserve"> englob</w:t>
      </w:r>
      <w:r w:rsidR="00335041" w:rsidRPr="00907336">
        <w:t xml:space="preserve">er </w:t>
      </w:r>
      <w:r w:rsidR="002115F0" w:rsidRPr="00907336">
        <w:t>des réflexions</w:t>
      </w:r>
      <w:r w:rsidR="00335041" w:rsidRPr="00907336">
        <w:t xml:space="preserve"> plus</w:t>
      </w:r>
      <w:r w:rsidR="002115F0" w:rsidRPr="00907336">
        <w:t xml:space="preserve"> fondamentales sur l</w:t>
      </w:r>
      <w:r w:rsidR="00901D1F" w:rsidRPr="00907336">
        <w:t xml:space="preserve">a </w:t>
      </w:r>
      <w:r w:rsidR="00335041" w:rsidRPr="00907336">
        <w:t>place du</w:t>
      </w:r>
      <w:r w:rsidR="00A304BA">
        <w:t xml:space="preserve"> </w:t>
      </w:r>
      <w:r w:rsidR="00901D1F" w:rsidRPr="00907336">
        <w:t>service public</w:t>
      </w:r>
      <w:r w:rsidR="00A304BA">
        <w:t xml:space="preserve"> </w:t>
      </w:r>
      <w:r w:rsidR="00335041" w:rsidRPr="00907336">
        <w:t>dans le secteur ASFT</w:t>
      </w:r>
      <w:r w:rsidR="002115F0" w:rsidRPr="00907336">
        <w:t xml:space="preserve">. </w:t>
      </w:r>
      <w:r w:rsidR="00335041" w:rsidRPr="00907336">
        <w:t>Une telle démarche</w:t>
      </w:r>
      <w:r w:rsidR="002115F0" w:rsidRPr="00907336">
        <w:t xml:space="preserve"> lui paraît d</w:t>
      </w:r>
      <w:r w:rsidR="00931A59" w:rsidRPr="00907336">
        <w:t>’</w:t>
      </w:r>
      <w:r w:rsidR="002115F0" w:rsidRPr="00907336">
        <w:t>autant plus pertinente que le rapport ne fait pas uniquement apparaîtr</w:t>
      </w:r>
      <w:r w:rsidR="002115F0">
        <w:t>e des lacunes procédurales</w:t>
      </w:r>
      <w:r w:rsidR="00335041">
        <w:t xml:space="preserve"> et administratives ponctuelles</w:t>
      </w:r>
      <w:r w:rsidR="002115F0">
        <w:t xml:space="preserve">, mais </w:t>
      </w:r>
      <w:r w:rsidR="00335041">
        <w:t xml:space="preserve">soulève des questions plus générales ayant trait à la </w:t>
      </w:r>
      <w:r w:rsidR="002115F0">
        <w:t>gouvernance d</w:t>
      </w:r>
      <w:r w:rsidR="00335041">
        <w:t>e ce</w:t>
      </w:r>
      <w:r w:rsidR="002115F0">
        <w:t xml:space="preserve"> secteur en fort développement.</w:t>
      </w:r>
    </w:p>
    <w:p w14:paraId="539DDA2A" w14:textId="77777777" w:rsidR="00EC0CDA" w:rsidRDefault="00EC0CDA" w:rsidP="00EC0CDA">
      <w:pPr>
        <w:rPr>
          <w:u w:val="single"/>
        </w:rPr>
      </w:pPr>
    </w:p>
    <w:p w14:paraId="0D21EF37" w14:textId="2EA6E4A2" w:rsidR="002115F0" w:rsidRDefault="002115F0" w:rsidP="00207F6C">
      <w:r>
        <w:rPr>
          <w:u w:val="single"/>
        </w:rPr>
        <w:t>Madame la Députée Sam Tanson</w:t>
      </w:r>
      <w:r w:rsidRPr="00335041">
        <w:t xml:space="preserve"> </w:t>
      </w:r>
      <w:r>
        <w:t xml:space="preserve">marque son soutien à cette </w:t>
      </w:r>
      <w:r w:rsidR="00335041">
        <w:t>proposition</w:t>
      </w:r>
      <w:r>
        <w:t xml:space="preserve">, sous réserve que </w:t>
      </w:r>
      <w:r w:rsidR="00335041">
        <w:t>c</w:t>
      </w:r>
      <w:r>
        <w:t xml:space="preserve">e débat se tienne dans des délais ambitieux et ne serve pas de prétexte </w:t>
      </w:r>
      <w:r w:rsidR="00335041">
        <w:t>pour</w:t>
      </w:r>
      <w:r>
        <w:t xml:space="preserve"> reporter la réforme législative </w:t>
      </w:r>
      <w:r w:rsidR="00335041">
        <w:t xml:space="preserve">y relative </w:t>
      </w:r>
      <w:r>
        <w:t>attendue depuis longtemps. Elle insiste</w:t>
      </w:r>
      <w:r w:rsidR="00335041">
        <w:t xml:space="preserve"> dans ce contexte</w:t>
      </w:r>
      <w:r>
        <w:t xml:space="preserve"> sur la nécessité d</w:t>
      </w:r>
      <w:r w:rsidR="00931A59">
        <w:t>’</w:t>
      </w:r>
      <w:r>
        <w:t>une révision du cadre légal.</w:t>
      </w:r>
    </w:p>
    <w:p w14:paraId="5CC05F48" w14:textId="77777777" w:rsidR="00EC0CDA" w:rsidRDefault="00EC0CDA" w:rsidP="00EC0CDA">
      <w:pPr>
        <w:rPr>
          <w:u w:val="single"/>
        </w:rPr>
      </w:pPr>
    </w:p>
    <w:p w14:paraId="69E2C7AD" w14:textId="14F6D7C5" w:rsidR="002115F0" w:rsidRDefault="002115F0" w:rsidP="00207F6C">
      <w:r>
        <w:rPr>
          <w:u w:val="single"/>
        </w:rPr>
        <w:t>Monsieur le Député Marc Goergen</w:t>
      </w:r>
      <w:r w:rsidRPr="00335041">
        <w:t xml:space="preserve"> </w:t>
      </w:r>
      <w:r>
        <w:t>soutient également l</w:t>
      </w:r>
      <w:r w:rsidR="00931A59">
        <w:t>’</w:t>
      </w:r>
      <w:r>
        <w:t>idée d</w:t>
      </w:r>
      <w:r w:rsidR="00335041">
        <w:t>e la tenue d’un</w:t>
      </w:r>
      <w:r>
        <w:t xml:space="preserve"> débat d</w:t>
      </w:r>
      <w:r w:rsidR="00931A59">
        <w:t>’</w:t>
      </w:r>
      <w:r>
        <w:t>orientation. Il propose d</w:t>
      </w:r>
      <w:r w:rsidR="00931A59">
        <w:t>’</w:t>
      </w:r>
      <w:r>
        <w:t>inviter préalablement les ministères à présenter leurs propositions d</w:t>
      </w:r>
      <w:r w:rsidR="00931A59">
        <w:t>’</w:t>
      </w:r>
      <w:r>
        <w:t>amélioration, afin que le débat parlementaire puisse s</w:t>
      </w:r>
      <w:r w:rsidR="00931A59">
        <w:t>’</w:t>
      </w:r>
      <w:r>
        <w:t>appuyer sur les réponses des autorités concernées.</w:t>
      </w:r>
    </w:p>
    <w:p w14:paraId="0060DC76" w14:textId="77777777" w:rsidR="00EC0CDA" w:rsidRDefault="00EC0CDA" w:rsidP="00EC0CDA">
      <w:pPr>
        <w:rPr>
          <w:u w:val="single"/>
        </w:rPr>
      </w:pPr>
    </w:p>
    <w:p w14:paraId="3C13289E" w14:textId="27F86C56" w:rsidR="002115F0" w:rsidRDefault="002115F0" w:rsidP="00207F6C">
      <w:r>
        <w:rPr>
          <w:u w:val="single"/>
        </w:rPr>
        <w:t>Madame la Députée Stéphanie Weydert</w:t>
      </w:r>
      <w:r w:rsidRPr="00335041">
        <w:t xml:space="preserve"> </w:t>
      </w:r>
      <w:r>
        <w:t>soulève que les recommandations de la Cour sont suffisamment claires pour que les ministères concernés puissent y donner suite sans nécessiter un débat d</w:t>
      </w:r>
      <w:r w:rsidR="00931A59">
        <w:t>’</w:t>
      </w:r>
      <w:r>
        <w:t>orientation préalable. Elle estime qu</w:t>
      </w:r>
      <w:r w:rsidR="00931A59">
        <w:t>’</w:t>
      </w:r>
      <w:r>
        <w:t>il convient surtout de s</w:t>
      </w:r>
      <w:r w:rsidR="00931A59">
        <w:t>’</w:t>
      </w:r>
      <w:r>
        <w:t>assurer que les recommandations soient rapidement opérationnalisées.</w:t>
      </w:r>
    </w:p>
    <w:p w14:paraId="7501A408" w14:textId="77777777" w:rsidR="00EC0CDA" w:rsidRDefault="00EC0CDA" w:rsidP="00EC0CDA">
      <w:pPr>
        <w:rPr>
          <w:u w:val="single"/>
        </w:rPr>
      </w:pPr>
    </w:p>
    <w:p w14:paraId="4609F709" w14:textId="491CE81E" w:rsidR="002115F0" w:rsidRDefault="002115F0" w:rsidP="00207F6C">
      <w:r>
        <w:rPr>
          <w:u w:val="single"/>
        </w:rPr>
        <w:lastRenderedPageBreak/>
        <w:t>Monsieur le Député André Bauler</w:t>
      </w:r>
      <w:r w:rsidRPr="00335041">
        <w:t xml:space="preserve"> </w:t>
      </w:r>
      <w:r>
        <w:t xml:space="preserve">se rallie à la position de Madame </w:t>
      </w:r>
      <w:r w:rsidR="00335041">
        <w:t xml:space="preserve">Weydert et souligne l’importance d’inviter </w:t>
      </w:r>
      <w:r>
        <w:t xml:space="preserve">les ministères </w:t>
      </w:r>
      <w:r w:rsidR="00335041">
        <w:t>concernés à</w:t>
      </w:r>
      <w:r>
        <w:t xml:space="preserve"> se positionner en premier lieu.</w:t>
      </w:r>
    </w:p>
    <w:p w14:paraId="66049A5F" w14:textId="77777777" w:rsidR="00EC0CDA" w:rsidRDefault="00EC0CDA" w:rsidP="00EC0CDA">
      <w:pPr>
        <w:rPr>
          <w:u w:val="single"/>
        </w:rPr>
      </w:pPr>
    </w:p>
    <w:p w14:paraId="4888770B" w14:textId="31780FD8" w:rsidR="00335041" w:rsidRDefault="002115F0" w:rsidP="00207F6C">
      <w:r>
        <w:rPr>
          <w:u w:val="single"/>
        </w:rPr>
        <w:t>Le Président de la Commission</w:t>
      </w:r>
      <w:r w:rsidRPr="00CD18AF">
        <w:t xml:space="preserve"> </w:t>
      </w:r>
      <w:r w:rsidR="00CD18AF">
        <w:t xml:space="preserve">propose </w:t>
      </w:r>
      <w:r>
        <w:t>d</w:t>
      </w:r>
      <w:r w:rsidR="00931A59">
        <w:t>’</w:t>
      </w:r>
      <w:r>
        <w:t>élaborer</w:t>
      </w:r>
      <w:r w:rsidR="00335041">
        <w:t>, dans un premier temps,</w:t>
      </w:r>
      <w:r>
        <w:t xml:space="preserve"> un rapport de </w:t>
      </w:r>
      <w:r w:rsidR="00335041">
        <w:t>C</w:t>
      </w:r>
      <w:r>
        <w:t>ommission sur base des recommandations de la Cour</w:t>
      </w:r>
      <w:r w:rsidR="00335041">
        <w:t>.</w:t>
      </w:r>
      <w:r>
        <w:t xml:space="preserve"> La question d</w:t>
      </w:r>
      <w:r w:rsidR="00335041">
        <w:t>e la tenue d’un</w:t>
      </w:r>
      <w:r>
        <w:t xml:space="preserve"> débat d</w:t>
      </w:r>
      <w:r w:rsidR="00931A59">
        <w:t>’</w:t>
      </w:r>
      <w:r>
        <w:t xml:space="preserve">orientation sera décidée </w:t>
      </w:r>
      <w:r w:rsidR="00335041">
        <w:t>dans un deuxième temps.</w:t>
      </w:r>
      <w:r>
        <w:t xml:space="preserve"> </w:t>
      </w:r>
    </w:p>
    <w:p w14:paraId="199CCD65" w14:textId="77777777" w:rsidR="00EC0CDA" w:rsidRDefault="00EC0CDA" w:rsidP="00EC0CDA">
      <w:pPr>
        <w:rPr>
          <w:u w:val="single"/>
        </w:rPr>
      </w:pPr>
    </w:p>
    <w:p w14:paraId="0756F29C" w14:textId="27AFAD6C" w:rsidR="002115F0" w:rsidRPr="00335041" w:rsidRDefault="00335041" w:rsidP="00207F6C">
      <w:pPr>
        <w:rPr>
          <w:u w:val="single"/>
        </w:rPr>
      </w:pPr>
      <w:r w:rsidRPr="00335041">
        <w:rPr>
          <w:u w:val="single"/>
        </w:rPr>
        <w:t>La Commission nomme Monsieur Franz Fayot rapporteur du rapport de la Commission.</w:t>
      </w:r>
    </w:p>
    <w:p w14:paraId="75F22756" w14:textId="77777777" w:rsidR="0055181C" w:rsidRDefault="0055181C" w:rsidP="00952137"/>
    <w:p w14:paraId="4653DAE3" w14:textId="55B603D9" w:rsidR="0055181C" w:rsidRDefault="00114081" w:rsidP="00952137">
      <w:pPr>
        <w:jc w:val="center"/>
      </w:pPr>
      <w:r>
        <w:rPr>
          <w:rFonts w:eastAsia="Arial" w:cs="Arial"/>
          <w:color w:val="000000"/>
        </w:rPr>
        <w:t>*</w:t>
      </w:r>
    </w:p>
    <w:p w14:paraId="36C9E746" w14:textId="77777777" w:rsidR="0055181C" w:rsidRDefault="0055181C" w:rsidP="00207F6C"/>
    <w:tbl>
      <w:tblPr>
        <w:tblW w:w="0" w:type="auto"/>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10" w:type="dxa"/>
          <w:right w:w="10" w:type="dxa"/>
        </w:tblCellMar>
        <w:tblLook w:val="04A0" w:firstRow="1" w:lastRow="0" w:firstColumn="1" w:lastColumn="0" w:noHBand="0" w:noVBand="1"/>
      </w:tblPr>
      <w:tblGrid>
        <w:gridCol w:w="9070"/>
      </w:tblGrid>
      <w:tr w:rsidR="0055181C" w14:paraId="147FE653" w14:textId="77777777">
        <w:trPr>
          <w:jc w:val="center"/>
        </w:trPr>
        <w:tc>
          <w:tcPr>
            <w:tcW w:w="9070" w:type="dxa"/>
          </w:tcPr>
          <w:p w14:paraId="7ABA450A" w14:textId="77777777" w:rsidR="0055181C" w:rsidRDefault="003B7E6F" w:rsidP="00952137">
            <w:pPr>
              <w:jc w:val="center"/>
            </w:pPr>
            <w:r>
              <w:rPr>
                <w:rFonts w:eastAsia="Arial" w:cs="Arial"/>
                <w:color w:val="000000"/>
              </w:rPr>
              <w:t xml:space="preserve"> </w:t>
            </w:r>
          </w:p>
          <w:p w14:paraId="56F77DF4" w14:textId="77777777" w:rsidR="0055181C" w:rsidRDefault="003B7E6F" w:rsidP="00952137">
            <w:pPr>
              <w:jc w:val="center"/>
            </w:pPr>
            <w:r>
              <w:rPr>
                <w:rFonts w:eastAsia="Arial" w:cs="Arial"/>
                <w:b/>
                <w:color w:val="000000"/>
              </w:rPr>
              <w:t>Procès-verbal approuvé et certifié exact</w:t>
            </w:r>
          </w:p>
          <w:p w14:paraId="6FA7D414" w14:textId="77777777" w:rsidR="0055181C" w:rsidRDefault="003B7E6F" w:rsidP="00952137">
            <w:pPr>
              <w:jc w:val="center"/>
            </w:pPr>
            <w:r>
              <w:rPr>
                <w:rFonts w:eastAsia="Arial" w:cs="Arial"/>
                <w:color w:val="000000"/>
              </w:rPr>
              <w:t xml:space="preserve"> </w:t>
            </w:r>
          </w:p>
        </w:tc>
      </w:tr>
    </w:tbl>
    <w:p w14:paraId="09B3B6BA" w14:textId="77777777" w:rsidR="00805D10" w:rsidRDefault="00805D10" w:rsidP="00952137"/>
    <w:sectPr w:rsidR="00805D10" w:rsidSect="007358D5">
      <w:headerReference w:type="even" r:id="rId11"/>
      <w:headerReference w:type="default" r:id="rId12"/>
      <w:footerReference w:type="default" r:id="rId13"/>
      <w:headerReference w:type="first" r:id="rId14"/>
      <w:footerReference w:type="first" r:id="rId15"/>
      <w:pgSz w:w="11905" w:h="16836"/>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9917C4" w14:textId="77777777" w:rsidR="0004227A" w:rsidRDefault="0004227A">
      <w:r>
        <w:separator/>
      </w:r>
    </w:p>
  </w:endnote>
  <w:endnote w:type="continuationSeparator" w:id="0">
    <w:p w14:paraId="1330A04F" w14:textId="77777777" w:rsidR="0004227A" w:rsidRDefault="0004227A">
      <w:r>
        <w:continuationSeparator/>
      </w:r>
    </w:p>
  </w:endnote>
  <w:endnote w:type="continuationNotice" w:id="1">
    <w:p w14:paraId="72B284E2" w14:textId="77777777" w:rsidR="0004227A" w:rsidRDefault="000422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Yu Mincho Light">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E9D4A" w14:textId="77777777" w:rsidR="0055181C" w:rsidRDefault="003B7E6F">
    <w:pPr>
      <w:jc w:val="right"/>
    </w:pPr>
    <w:r>
      <w:rPr>
        <w:rFonts w:cs="Arial"/>
      </w:rPr>
      <w:fldChar w:fldCharType="begin"/>
    </w:r>
    <w:r>
      <w:rPr>
        <w:rFonts w:cs="Arial"/>
      </w:rPr>
      <w:instrText>PAGE</w:instrText>
    </w:r>
    <w:r>
      <w:rPr>
        <w:rFonts w:cs="Arial"/>
      </w:rPr>
      <w:fldChar w:fldCharType="separate"/>
    </w:r>
    <w:r>
      <w:rPr>
        <w:rFonts w:cs="Arial"/>
      </w:rPr>
      <w:t>1</w:t>
    </w:r>
    <w:r>
      <w:rPr>
        <w:rFonts w:cs="Arial"/>
      </w:rPr>
      <w:fldChar w:fldCharType="end"/>
    </w:r>
    <w:r>
      <w:rPr>
        <w:rFonts w:cs="Arial"/>
      </w:rPr>
      <w:t>/</w:t>
    </w:r>
    <w:r>
      <w:rPr>
        <w:rFonts w:cs="Arial"/>
      </w:rPr>
      <w:fldChar w:fldCharType="begin"/>
    </w:r>
    <w:r>
      <w:rPr>
        <w:rFonts w:cs="Arial"/>
      </w:rPr>
      <w:instrText>NUMPAGES</w:instrText>
    </w:r>
    <w:r>
      <w:rPr>
        <w:rFonts w:cs="Arial"/>
      </w:rPr>
      <w:fldChar w:fldCharType="separate"/>
    </w:r>
    <w:r>
      <w:rPr>
        <w:rFonts w:cs="Arial"/>
      </w:rPr>
      <w:t>1</w:t>
    </w:r>
    <w:r>
      <w:rP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FFAE8" w14:textId="77777777" w:rsidR="0055181C" w:rsidRDefault="003B7E6F">
    <w:pPr>
      <w:jc w:val="right"/>
    </w:pPr>
    <w:r>
      <w:rPr>
        <w:rFonts w:cs="Arial"/>
      </w:rPr>
      <w:fldChar w:fldCharType="begin"/>
    </w:r>
    <w:r>
      <w:rPr>
        <w:rFonts w:cs="Arial"/>
      </w:rPr>
      <w:instrText>PAGE</w:instrText>
    </w:r>
    <w:r>
      <w:rPr>
        <w:rFonts w:cs="Arial"/>
      </w:rPr>
      <w:fldChar w:fldCharType="separate"/>
    </w:r>
    <w:r>
      <w:rPr>
        <w:rFonts w:cs="Arial"/>
      </w:rPr>
      <w:t>1</w:t>
    </w:r>
    <w:r>
      <w:rPr>
        <w:rFonts w:cs="Arial"/>
      </w:rPr>
      <w:fldChar w:fldCharType="end"/>
    </w:r>
    <w:r>
      <w:rPr>
        <w:rFonts w:cs="Arial"/>
      </w:rPr>
      <w:t>/</w:t>
    </w:r>
    <w:r>
      <w:rPr>
        <w:rFonts w:cs="Arial"/>
      </w:rPr>
      <w:fldChar w:fldCharType="begin"/>
    </w:r>
    <w:r>
      <w:rPr>
        <w:rFonts w:cs="Arial"/>
      </w:rPr>
      <w:instrText>NUMPAGES</w:instrText>
    </w:r>
    <w:r>
      <w:rPr>
        <w:rFonts w:cs="Arial"/>
      </w:rPr>
      <w:fldChar w:fldCharType="separate"/>
    </w:r>
    <w:r>
      <w:rPr>
        <w:rFonts w:cs="Arial"/>
      </w:rPr>
      <w:t>1</w:t>
    </w:r>
    <w:r>
      <w:rPr>
        <w:rFonts w:cs="Arial"/>
      </w:rPr>
      <w:fldChar w:fldCharType="end"/>
    </w:r>
  </w:p>
  <w:p w14:paraId="708960FB" w14:textId="73562CC2" w:rsidR="0055181C" w:rsidRDefault="003B7E6F" w:rsidP="00F34BEA">
    <w:r>
      <w:t xml:space="preserve">¹ Retrouvez la vidéo de la réunion ici : </w:t>
    </w:r>
    <w:r w:rsidR="00CE6618">
      <w:t>https://chd.lu/fr/meeting/1014464</w:t>
    </w:r>
    <w:r w:rsidR="00CF5F97">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7A956C" w14:textId="77777777" w:rsidR="0004227A" w:rsidRDefault="0004227A">
      <w:r>
        <w:separator/>
      </w:r>
    </w:p>
  </w:footnote>
  <w:footnote w:type="continuationSeparator" w:id="0">
    <w:p w14:paraId="2353E87F" w14:textId="77777777" w:rsidR="0004227A" w:rsidRDefault="0004227A">
      <w:r>
        <w:continuationSeparator/>
      </w:r>
    </w:p>
  </w:footnote>
  <w:footnote w:type="continuationNotice" w:id="1">
    <w:p w14:paraId="72B32E69" w14:textId="77777777" w:rsidR="0004227A" w:rsidRDefault="0004227A"/>
  </w:footnote>
  <w:footnote w:id="2">
    <w:p w14:paraId="23B1EC1A" w14:textId="262EC1CC" w:rsidR="0027226D" w:rsidRPr="0027226D" w:rsidRDefault="0027226D">
      <w:pPr>
        <w:pStyle w:val="Notedebasdepage"/>
      </w:pPr>
      <w:r>
        <w:rPr>
          <w:rStyle w:val="Appelnotedebasdep"/>
        </w:rPr>
        <w:footnoteRef/>
      </w:r>
      <w:r>
        <w:t xml:space="preserve"> Réunion de la Commission du Contrôle de l’Exécution budgétaire du 16 novembre 2015.</w:t>
      </w:r>
    </w:p>
  </w:footnote>
  <w:footnote w:id="3">
    <w:p w14:paraId="65AA9662" w14:textId="39CF4E9D" w:rsidR="0027226D" w:rsidRPr="0027226D" w:rsidRDefault="0027226D">
      <w:pPr>
        <w:pStyle w:val="Notedebasdepage"/>
      </w:pPr>
      <w:r>
        <w:rPr>
          <w:rStyle w:val="Appelnotedebasdep"/>
        </w:rPr>
        <w:footnoteRef/>
      </w:r>
      <w:r>
        <w:t xml:space="preserve"> Réunion de la Commission du Contrôle de l’Exécution budgétaire du12 octobre 2020.</w:t>
      </w:r>
    </w:p>
  </w:footnote>
  <w:footnote w:id="4">
    <w:p w14:paraId="1560EDAB" w14:textId="3339B954" w:rsidR="000D5E81" w:rsidRPr="000D5E81" w:rsidRDefault="000D5E81" w:rsidP="00A10350">
      <w:pPr>
        <w:pStyle w:val="Notedebasdepage"/>
        <w:rPr>
          <w:lang w:val="fr-CH"/>
        </w:rPr>
      </w:pPr>
      <w:r>
        <w:rPr>
          <w:rStyle w:val="Appelnotedebasdep"/>
        </w:rPr>
        <w:footnoteRef/>
      </w:r>
      <w:r>
        <w:t xml:space="preserve"> </w:t>
      </w:r>
      <w:r>
        <w:rPr>
          <w:lang w:val="fr-CH"/>
        </w:rPr>
        <w:t>Présentation de la Cour, en annexe.</w:t>
      </w:r>
    </w:p>
  </w:footnote>
  <w:footnote w:id="5">
    <w:p w14:paraId="038446E8" w14:textId="07D4D7D5" w:rsidR="00DB5A44" w:rsidRPr="00DB5A44" w:rsidRDefault="00DB5A44">
      <w:pPr>
        <w:pStyle w:val="Notedebasdepage"/>
        <w:rPr>
          <w:lang w:val="fr-CH"/>
        </w:rPr>
      </w:pPr>
      <w:r>
        <w:rPr>
          <w:rStyle w:val="Appelnotedebasdep"/>
        </w:rPr>
        <w:footnoteRef/>
      </w:r>
      <w:r>
        <w:t xml:space="preserve"> </w:t>
      </w:r>
      <w:r w:rsidRPr="00DB5A44">
        <w:t>Règlement grand-ducal</w:t>
      </w:r>
      <w:r>
        <w:t xml:space="preserve"> modifié</w:t>
      </w:r>
      <w:r w:rsidRPr="00DB5A44">
        <w:t xml:space="preserve"> du 23 avril 2004</w:t>
      </w:r>
      <w:r>
        <w:t xml:space="preserve"> </w:t>
      </w:r>
      <w:r w:rsidRPr="00DB5A44">
        <w:t xml:space="preserve">concernant l’agrément gouvernemental à accorder aux gestionnaires de services pour personnes handicapées et portant exécution de la loi du 8 septembre 1998 réglant les relations entre l’Etat et les organismes œuvrant dans </w:t>
      </w:r>
      <w:proofErr w:type="gramStart"/>
      <w:r w:rsidRPr="00DB5A44">
        <w:t>les domaines social</w:t>
      </w:r>
      <w:proofErr w:type="gramEnd"/>
      <w:r w:rsidRPr="00DB5A44">
        <w:t>, familial et thérapeutique.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E1290" w14:textId="02C0C7D4" w:rsidR="00B610D9" w:rsidRDefault="00B610D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1E3ED" w14:textId="38BEB914" w:rsidR="00B610D9" w:rsidRDefault="00B610D9">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BDB9C" w14:textId="5337122A" w:rsidR="0055181C" w:rsidRDefault="003B7E6F">
    <w:pPr>
      <w:ind w:hanging="566"/>
    </w:pPr>
    <w:r>
      <w:rPr>
        <w:noProof/>
      </w:rPr>
      <w:drawing>
        <wp:inline distT="0" distB="0" distL="0" distR="0" wp14:anchorId="2BCA5B40" wp14:editId="0DB5C2F9">
          <wp:extent cx="1428632" cy="648000"/>
          <wp:effectExtent l="0" t="0" r="635" b="0"/>
          <wp:docPr id="2088899697" name="Drawing 0" descr="h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header.png"/>
                  <pic:cNvPicPr>
                    <a:picLocks noChangeAspect="1"/>
                  </pic:cNvPicPr>
                </pic:nvPicPr>
                <pic:blipFill>
                  <a:blip r:embed="rId1"/>
                  <a:stretch>
                    <a:fillRect/>
                  </a:stretch>
                </pic:blipFill>
                <pic:spPr>
                  <a:xfrm>
                    <a:off x="0" y="0"/>
                    <a:ext cx="1428632" cy="648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748C8"/>
    <w:multiLevelType w:val="hybridMultilevel"/>
    <w:tmpl w:val="C15A3DEC"/>
    <w:lvl w:ilvl="0" w:tplc="EFC27D92">
      <w:start w:val="1"/>
      <w:numFmt w:val="bullet"/>
      <w:lvlText w:val="-"/>
      <w:lvlJc w:val="left"/>
      <w:pPr>
        <w:ind w:left="720" w:hanging="360"/>
      </w:pPr>
      <w:rPr>
        <w:rFonts w:ascii="Yu Mincho Light" w:eastAsia="Yu Mincho Light" w:hAnsi="Yu Mincho Light" w:hint="eastAsi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51411DF"/>
    <w:multiLevelType w:val="hybridMultilevel"/>
    <w:tmpl w:val="A790BDAC"/>
    <w:lvl w:ilvl="0" w:tplc="073CF028">
      <w:start w:val="1"/>
      <w:numFmt w:val="bullet"/>
      <w:lvlText w:val=""/>
      <w:lvlJc w:val="left"/>
      <w:pPr>
        <w:ind w:left="790" w:hanging="360"/>
      </w:pPr>
      <w:rPr>
        <w:rFonts w:ascii="Symbol" w:hAnsi="Symbol" w:hint="default"/>
      </w:rPr>
    </w:lvl>
    <w:lvl w:ilvl="1" w:tplc="040C0003" w:tentative="1">
      <w:start w:val="1"/>
      <w:numFmt w:val="bullet"/>
      <w:lvlText w:val="o"/>
      <w:lvlJc w:val="left"/>
      <w:pPr>
        <w:ind w:left="1510" w:hanging="360"/>
      </w:pPr>
      <w:rPr>
        <w:rFonts w:ascii="Courier New" w:hAnsi="Courier New" w:cs="Courier New" w:hint="default"/>
      </w:rPr>
    </w:lvl>
    <w:lvl w:ilvl="2" w:tplc="040C0005" w:tentative="1">
      <w:start w:val="1"/>
      <w:numFmt w:val="bullet"/>
      <w:lvlText w:val=""/>
      <w:lvlJc w:val="left"/>
      <w:pPr>
        <w:ind w:left="2230" w:hanging="360"/>
      </w:pPr>
      <w:rPr>
        <w:rFonts w:ascii="Wingdings" w:hAnsi="Wingdings" w:hint="default"/>
      </w:rPr>
    </w:lvl>
    <w:lvl w:ilvl="3" w:tplc="040C0001" w:tentative="1">
      <w:start w:val="1"/>
      <w:numFmt w:val="bullet"/>
      <w:lvlText w:val=""/>
      <w:lvlJc w:val="left"/>
      <w:pPr>
        <w:ind w:left="2950" w:hanging="360"/>
      </w:pPr>
      <w:rPr>
        <w:rFonts w:ascii="Symbol" w:hAnsi="Symbol" w:hint="default"/>
      </w:rPr>
    </w:lvl>
    <w:lvl w:ilvl="4" w:tplc="040C0003" w:tentative="1">
      <w:start w:val="1"/>
      <w:numFmt w:val="bullet"/>
      <w:lvlText w:val="o"/>
      <w:lvlJc w:val="left"/>
      <w:pPr>
        <w:ind w:left="3670" w:hanging="360"/>
      </w:pPr>
      <w:rPr>
        <w:rFonts w:ascii="Courier New" w:hAnsi="Courier New" w:cs="Courier New" w:hint="default"/>
      </w:rPr>
    </w:lvl>
    <w:lvl w:ilvl="5" w:tplc="040C0005" w:tentative="1">
      <w:start w:val="1"/>
      <w:numFmt w:val="bullet"/>
      <w:lvlText w:val=""/>
      <w:lvlJc w:val="left"/>
      <w:pPr>
        <w:ind w:left="4390" w:hanging="360"/>
      </w:pPr>
      <w:rPr>
        <w:rFonts w:ascii="Wingdings" w:hAnsi="Wingdings" w:hint="default"/>
      </w:rPr>
    </w:lvl>
    <w:lvl w:ilvl="6" w:tplc="040C0001" w:tentative="1">
      <w:start w:val="1"/>
      <w:numFmt w:val="bullet"/>
      <w:lvlText w:val=""/>
      <w:lvlJc w:val="left"/>
      <w:pPr>
        <w:ind w:left="5110" w:hanging="360"/>
      </w:pPr>
      <w:rPr>
        <w:rFonts w:ascii="Symbol" w:hAnsi="Symbol" w:hint="default"/>
      </w:rPr>
    </w:lvl>
    <w:lvl w:ilvl="7" w:tplc="040C0003" w:tentative="1">
      <w:start w:val="1"/>
      <w:numFmt w:val="bullet"/>
      <w:lvlText w:val="o"/>
      <w:lvlJc w:val="left"/>
      <w:pPr>
        <w:ind w:left="5830" w:hanging="360"/>
      </w:pPr>
      <w:rPr>
        <w:rFonts w:ascii="Courier New" w:hAnsi="Courier New" w:cs="Courier New" w:hint="default"/>
      </w:rPr>
    </w:lvl>
    <w:lvl w:ilvl="8" w:tplc="040C0005" w:tentative="1">
      <w:start w:val="1"/>
      <w:numFmt w:val="bullet"/>
      <w:lvlText w:val=""/>
      <w:lvlJc w:val="left"/>
      <w:pPr>
        <w:ind w:left="6550" w:hanging="360"/>
      </w:pPr>
      <w:rPr>
        <w:rFonts w:ascii="Wingdings" w:hAnsi="Wingdings" w:hint="default"/>
      </w:rPr>
    </w:lvl>
  </w:abstractNum>
  <w:abstractNum w:abstractNumId="2" w15:restartNumberingAfterBreak="0">
    <w:nsid w:val="101A6BA8"/>
    <w:multiLevelType w:val="hybridMultilevel"/>
    <w:tmpl w:val="C9D0C578"/>
    <w:lvl w:ilvl="0" w:tplc="073CF028">
      <w:start w:val="1"/>
      <w:numFmt w:val="bullet"/>
      <w:lvlText w:val=""/>
      <w:lvlJc w:val="left"/>
      <w:pPr>
        <w:ind w:left="851" w:hanging="360"/>
      </w:pPr>
      <w:rPr>
        <w:rFonts w:ascii="Symbol" w:hAnsi="Symbol" w:hint="default"/>
      </w:rPr>
    </w:lvl>
    <w:lvl w:ilvl="1" w:tplc="040C0003" w:tentative="1">
      <w:start w:val="1"/>
      <w:numFmt w:val="bullet"/>
      <w:lvlText w:val="o"/>
      <w:lvlJc w:val="left"/>
      <w:pPr>
        <w:ind w:left="1571" w:hanging="360"/>
      </w:pPr>
      <w:rPr>
        <w:rFonts w:ascii="Courier New" w:hAnsi="Courier New" w:cs="Courier New" w:hint="default"/>
      </w:rPr>
    </w:lvl>
    <w:lvl w:ilvl="2" w:tplc="040C0005" w:tentative="1">
      <w:start w:val="1"/>
      <w:numFmt w:val="bullet"/>
      <w:lvlText w:val=""/>
      <w:lvlJc w:val="left"/>
      <w:pPr>
        <w:ind w:left="2291" w:hanging="360"/>
      </w:pPr>
      <w:rPr>
        <w:rFonts w:ascii="Wingdings" w:hAnsi="Wingdings" w:hint="default"/>
      </w:rPr>
    </w:lvl>
    <w:lvl w:ilvl="3" w:tplc="040C0001" w:tentative="1">
      <w:start w:val="1"/>
      <w:numFmt w:val="bullet"/>
      <w:lvlText w:val=""/>
      <w:lvlJc w:val="left"/>
      <w:pPr>
        <w:ind w:left="3011" w:hanging="360"/>
      </w:pPr>
      <w:rPr>
        <w:rFonts w:ascii="Symbol" w:hAnsi="Symbol" w:hint="default"/>
      </w:rPr>
    </w:lvl>
    <w:lvl w:ilvl="4" w:tplc="040C0003" w:tentative="1">
      <w:start w:val="1"/>
      <w:numFmt w:val="bullet"/>
      <w:lvlText w:val="o"/>
      <w:lvlJc w:val="left"/>
      <w:pPr>
        <w:ind w:left="3731" w:hanging="360"/>
      </w:pPr>
      <w:rPr>
        <w:rFonts w:ascii="Courier New" w:hAnsi="Courier New" w:cs="Courier New" w:hint="default"/>
      </w:rPr>
    </w:lvl>
    <w:lvl w:ilvl="5" w:tplc="040C0005" w:tentative="1">
      <w:start w:val="1"/>
      <w:numFmt w:val="bullet"/>
      <w:lvlText w:val=""/>
      <w:lvlJc w:val="left"/>
      <w:pPr>
        <w:ind w:left="4451" w:hanging="360"/>
      </w:pPr>
      <w:rPr>
        <w:rFonts w:ascii="Wingdings" w:hAnsi="Wingdings" w:hint="default"/>
      </w:rPr>
    </w:lvl>
    <w:lvl w:ilvl="6" w:tplc="040C0001" w:tentative="1">
      <w:start w:val="1"/>
      <w:numFmt w:val="bullet"/>
      <w:lvlText w:val=""/>
      <w:lvlJc w:val="left"/>
      <w:pPr>
        <w:ind w:left="5171" w:hanging="360"/>
      </w:pPr>
      <w:rPr>
        <w:rFonts w:ascii="Symbol" w:hAnsi="Symbol" w:hint="default"/>
      </w:rPr>
    </w:lvl>
    <w:lvl w:ilvl="7" w:tplc="040C0003" w:tentative="1">
      <w:start w:val="1"/>
      <w:numFmt w:val="bullet"/>
      <w:lvlText w:val="o"/>
      <w:lvlJc w:val="left"/>
      <w:pPr>
        <w:ind w:left="5891" w:hanging="360"/>
      </w:pPr>
      <w:rPr>
        <w:rFonts w:ascii="Courier New" w:hAnsi="Courier New" w:cs="Courier New" w:hint="default"/>
      </w:rPr>
    </w:lvl>
    <w:lvl w:ilvl="8" w:tplc="040C0005" w:tentative="1">
      <w:start w:val="1"/>
      <w:numFmt w:val="bullet"/>
      <w:lvlText w:val=""/>
      <w:lvlJc w:val="left"/>
      <w:pPr>
        <w:ind w:left="6611" w:hanging="360"/>
      </w:pPr>
      <w:rPr>
        <w:rFonts w:ascii="Wingdings" w:hAnsi="Wingdings" w:hint="default"/>
      </w:rPr>
    </w:lvl>
  </w:abstractNum>
  <w:abstractNum w:abstractNumId="3" w15:restartNumberingAfterBreak="0">
    <w:nsid w:val="16586011"/>
    <w:multiLevelType w:val="hybridMultilevel"/>
    <w:tmpl w:val="C408F1E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6685191"/>
    <w:multiLevelType w:val="hybridMultilevel"/>
    <w:tmpl w:val="A926C412"/>
    <w:lvl w:ilvl="0" w:tplc="416420C0">
      <w:start w:val="1"/>
      <w:numFmt w:val="low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5" w15:restartNumberingAfterBreak="0">
    <w:nsid w:val="1B0677A9"/>
    <w:multiLevelType w:val="hybridMultilevel"/>
    <w:tmpl w:val="9E441742"/>
    <w:lvl w:ilvl="0" w:tplc="EFC27D92">
      <w:start w:val="1"/>
      <w:numFmt w:val="bullet"/>
      <w:lvlText w:val="-"/>
      <w:lvlJc w:val="left"/>
      <w:pPr>
        <w:ind w:left="1440" w:hanging="360"/>
      </w:pPr>
      <w:rPr>
        <w:rFonts w:ascii="Yu Mincho Light" w:eastAsia="Yu Mincho Light" w:hAnsi="Yu Mincho Light" w:hint="eastAsia"/>
        <w:sz w:val="22"/>
        <w:szCs w:val="22"/>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 w15:restartNumberingAfterBreak="0">
    <w:nsid w:val="24837FBC"/>
    <w:multiLevelType w:val="hybridMultilevel"/>
    <w:tmpl w:val="4C3AB2AE"/>
    <w:lvl w:ilvl="0" w:tplc="EFC27D92">
      <w:start w:val="1"/>
      <w:numFmt w:val="bullet"/>
      <w:lvlText w:val="-"/>
      <w:lvlJc w:val="left"/>
      <w:pPr>
        <w:ind w:left="720" w:hanging="360"/>
      </w:pPr>
      <w:rPr>
        <w:rFonts w:ascii="Yu Mincho Light" w:eastAsia="Yu Mincho Light" w:hAnsi="Yu Mincho Light" w:hint="eastAsia"/>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9BC5757"/>
    <w:multiLevelType w:val="hybridMultilevel"/>
    <w:tmpl w:val="37D08BBC"/>
    <w:lvl w:ilvl="0" w:tplc="EFC27D92">
      <w:start w:val="1"/>
      <w:numFmt w:val="bullet"/>
      <w:lvlText w:val="-"/>
      <w:lvlJc w:val="left"/>
      <w:pPr>
        <w:ind w:left="720" w:hanging="360"/>
      </w:pPr>
      <w:rPr>
        <w:rFonts w:ascii="Yu Mincho Light" w:eastAsia="Yu Mincho Light" w:hAnsi="Yu Mincho Light" w:hint="eastAsia"/>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BFE591B"/>
    <w:multiLevelType w:val="hybridMultilevel"/>
    <w:tmpl w:val="E86E56D6"/>
    <w:lvl w:ilvl="0" w:tplc="FFFFFFFF">
      <w:start w:val="1"/>
      <w:numFmt w:val="bullet"/>
      <w:lvlText w:val="-"/>
      <w:lvlJc w:val="left"/>
      <w:pPr>
        <w:ind w:left="720" w:hanging="360"/>
      </w:pPr>
      <w:rPr>
        <w:rFonts w:ascii="Yu Mincho Light" w:eastAsia="Yu Mincho Light" w:hAnsi="Yu Mincho Light" w:hint="eastAsia"/>
      </w:rPr>
    </w:lvl>
    <w:lvl w:ilvl="1" w:tplc="EFC27D92">
      <w:start w:val="1"/>
      <w:numFmt w:val="bullet"/>
      <w:lvlText w:val="-"/>
      <w:lvlJc w:val="left"/>
      <w:pPr>
        <w:ind w:left="1440" w:hanging="360"/>
      </w:pPr>
      <w:rPr>
        <w:rFonts w:ascii="Yu Mincho Light" w:eastAsia="Yu Mincho Light" w:hAnsi="Yu Mincho Light" w:hint="eastAsia"/>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4ABC5FE3"/>
    <w:multiLevelType w:val="hybridMultilevel"/>
    <w:tmpl w:val="196A6624"/>
    <w:lvl w:ilvl="0" w:tplc="EFC27D92">
      <w:start w:val="1"/>
      <w:numFmt w:val="bullet"/>
      <w:lvlText w:val="-"/>
      <w:lvlJc w:val="left"/>
      <w:pPr>
        <w:ind w:left="720" w:hanging="360"/>
      </w:pPr>
      <w:rPr>
        <w:rFonts w:ascii="Yu Mincho Light" w:eastAsia="Yu Mincho Light" w:hAnsi="Yu Mincho Light" w:hint="eastAsi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E042F47"/>
    <w:multiLevelType w:val="hybridMultilevel"/>
    <w:tmpl w:val="EB166FEA"/>
    <w:lvl w:ilvl="0" w:tplc="073CF028">
      <w:start w:val="1"/>
      <w:numFmt w:val="bullet"/>
      <w:lvlText w:val=""/>
      <w:lvlJc w:val="left"/>
      <w:pPr>
        <w:ind w:left="790" w:hanging="360"/>
      </w:pPr>
      <w:rPr>
        <w:rFonts w:ascii="Symbol" w:hAnsi="Symbol" w:hint="default"/>
      </w:rPr>
    </w:lvl>
    <w:lvl w:ilvl="1" w:tplc="040C0003" w:tentative="1">
      <w:start w:val="1"/>
      <w:numFmt w:val="bullet"/>
      <w:lvlText w:val="o"/>
      <w:lvlJc w:val="left"/>
      <w:pPr>
        <w:ind w:left="1510" w:hanging="360"/>
      </w:pPr>
      <w:rPr>
        <w:rFonts w:ascii="Courier New" w:hAnsi="Courier New" w:cs="Courier New" w:hint="default"/>
      </w:rPr>
    </w:lvl>
    <w:lvl w:ilvl="2" w:tplc="040C0005" w:tentative="1">
      <w:start w:val="1"/>
      <w:numFmt w:val="bullet"/>
      <w:lvlText w:val=""/>
      <w:lvlJc w:val="left"/>
      <w:pPr>
        <w:ind w:left="2230" w:hanging="360"/>
      </w:pPr>
      <w:rPr>
        <w:rFonts w:ascii="Wingdings" w:hAnsi="Wingdings" w:hint="default"/>
      </w:rPr>
    </w:lvl>
    <w:lvl w:ilvl="3" w:tplc="040C0001" w:tentative="1">
      <w:start w:val="1"/>
      <w:numFmt w:val="bullet"/>
      <w:lvlText w:val=""/>
      <w:lvlJc w:val="left"/>
      <w:pPr>
        <w:ind w:left="2950" w:hanging="360"/>
      </w:pPr>
      <w:rPr>
        <w:rFonts w:ascii="Symbol" w:hAnsi="Symbol" w:hint="default"/>
      </w:rPr>
    </w:lvl>
    <w:lvl w:ilvl="4" w:tplc="040C0003" w:tentative="1">
      <w:start w:val="1"/>
      <w:numFmt w:val="bullet"/>
      <w:lvlText w:val="o"/>
      <w:lvlJc w:val="left"/>
      <w:pPr>
        <w:ind w:left="3670" w:hanging="360"/>
      </w:pPr>
      <w:rPr>
        <w:rFonts w:ascii="Courier New" w:hAnsi="Courier New" w:cs="Courier New" w:hint="default"/>
      </w:rPr>
    </w:lvl>
    <w:lvl w:ilvl="5" w:tplc="040C0005" w:tentative="1">
      <w:start w:val="1"/>
      <w:numFmt w:val="bullet"/>
      <w:lvlText w:val=""/>
      <w:lvlJc w:val="left"/>
      <w:pPr>
        <w:ind w:left="4390" w:hanging="360"/>
      </w:pPr>
      <w:rPr>
        <w:rFonts w:ascii="Wingdings" w:hAnsi="Wingdings" w:hint="default"/>
      </w:rPr>
    </w:lvl>
    <w:lvl w:ilvl="6" w:tplc="040C0001" w:tentative="1">
      <w:start w:val="1"/>
      <w:numFmt w:val="bullet"/>
      <w:lvlText w:val=""/>
      <w:lvlJc w:val="left"/>
      <w:pPr>
        <w:ind w:left="5110" w:hanging="360"/>
      </w:pPr>
      <w:rPr>
        <w:rFonts w:ascii="Symbol" w:hAnsi="Symbol" w:hint="default"/>
      </w:rPr>
    </w:lvl>
    <w:lvl w:ilvl="7" w:tplc="040C0003" w:tentative="1">
      <w:start w:val="1"/>
      <w:numFmt w:val="bullet"/>
      <w:lvlText w:val="o"/>
      <w:lvlJc w:val="left"/>
      <w:pPr>
        <w:ind w:left="5830" w:hanging="360"/>
      </w:pPr>
      <w:rPr>
        <w:rFonts w:ascii="Courier New" w:hAnsi="Courier New" w:cs="Courier New" w:hint="default"/>
      </w:rPr>
    </w:lvl>
    <w:lvl w:ilvl="8" w:tplc="040C0005" w:tentative="1">
      <w:start w:val="1"/>
      <w:numFmt w:val="bullet"/>
      <w:lvlText w:val=""/>
      <w:lvlJc w:val="left"/>
      <w:pPr>
        <w:ind w:left="6550" w:hanging="360"/>
      </w:pPr>
      <w:rPr>
        <w:rFonts w:ascii="Wingdings" w:hAnsi="Wingdings" w:hint="default"/>
      </w:rPr>
    </w:lvl>
  </w:abstractNum>
  <w:abstractNum w:abstractNumId="11" w15:restartNumberingAfterBreak="0">
    <w:nsid w:val="507E47A3"/>
    <w:multiLevelType w:val="hybridMultilevel"/>
    <w:tmpl w:val="E9E45392"/>
    <w:lvl w:ilvl="0" w:tplc="073CF028">
      <w:start w:val="1"/>
      <w:numFmt w:val="bullet"/>
      <w:lvlText w:val=""/>
      <w:lvlJc w:val="left"/>
      <w:pPr>
        <w:ind w:left="790" w:hanging="360"/>
      </w:pPr>
      <w:rPr>
        <w:rFonts w:ascii="Symbol" w:hAnsi="Symbol" w:hint="default"/>
      </w:rPr>
    </w:lvl>
    <w:lvl w:ilvl="1" w:tplc="040C0003" w:tentative="1">
      <w:start w:val="1"/>
      <w:numFmt w:val="bullet"/>
      <w:lvlText w:val="o"/>
      <w:lvlJc w:val="left"/>
      <w:pPr>
        <w:ind w:left="1510" w:hanging="360"/>
      </w:pPr>
      <w:rPr>
        <w:rFonts w:ascii="Courier New" w:hAnsi="Courier New" w:cs="Courier New" w:hint="default"/>
      </w:rPr>
    </w:lvl>
    <w:lvl w:ilvl="2" w:tplc="040C0005" w:tentative="1">
      <w:start w:val="1"/>
      <w:numFmt w:val="bullet"/>
      <w:lvlText w:val=""/>
      <w:lvlJc w:val="left"/>
      <w:pPr>
        <w:ind w:left="2230" w:hanging="360"/>
      </w:pPr>
      <w:rPr>
        <w:rFonts w:ascii="Wingdings" w:hAnsi="Wingdings" w:hint="default"/>
      </w:rPr>
    </w:lvl>
    <w:lvl w:ilvl="3" w:tplc="040C0001" w:tentative="1">
      <w:start w:val="1"/>
      <w:numFmt w:val="bullet"/>
      <w:lvlText w:val=""/>
      <w:lvlJc w:val="left"/>
      <w:pPr>
        <w:ind w:left="2950" w:hanging="360"/>
      </w:pPr>
      <w:rPr>
        <w:rFonts w:ascii="Symbol" w:hAnsi="Symbol" w:hint="default"/>
      </w:rPr>
    </w:lvl>
    <w:lvl w:ilvl="4" w:tplc="040C0003" w:tentative="1">
      <w:start w:val="1"/>
      <w:numFmt w:val="bullet"/>
      <w:lvlText w:val="o"/>
      <w:lvlJc w:val="left"/>
      <w:pPr>
        <w:ind w:left="3670" w:hanging="360"/>
      </w:pPr>
      <w:rPr>
        <w:rFonts w:ascii="Courier New" w:hAnsi="Courier New" w:cs="Courier New" w:hint="default"/>
      </w:rPr>
    </w:lvl>
    <w:lvl w:ilvl="5" w:tplc="040C0005" w:tentative="1">
      <w:start w:val="1"/>
      <w:numFmt w:val="bullet"/>
      <w:lvlText w:val=""/>
      <w:lvlJc w:val="left"/>
      <w:pPr>
        <w:ind w:left="4390" w:hanging="360"/>
      </w:pPr>
      <w:rPr>
        <w:rFonts w:ascii="Wingdings" w:hAnsi="Wingdings" w:hint="default"/>
      </w:rPr>
    </w:lvl>
    <w:lvl w:ilvl="6" w:tplc="040C0001" w:tentative="1">
      <w:start w:val="1"/>
      <w:numFmt w:val="bullet"/>
      <w:lvlText w:val=""/>
      <w:lvlJc w:val="left"/>
      <w:pPr>
        <w:ind w:left="5110" w:hanging="360"/>
      </w:pPr>
      <w:rPr>
        <w:rFonts w:ascii="Symbol" w:hAnsi="Symbol" w:hint="default"/>
      </w:rPr>
    </w:lvl>
    <w:lvl w:ilvl="7" w:tplc="040C0003" w:tentative="1">
      <w:start w:val="1"/>
      <w:numFmt w:val="bullet"/>
      <w:lvlText w:val="o"/>
      <w:lvlJc w:val="left"/>
      <w:pPr>
        <w:ind w:left="5830" w:hanging="360"/>
      </w:pPr>
      <w:rPr>
        <w:rFonts w:ascii="Courier New" w:hAnsi="Courier New" w:cs="Courier New" w:hint="default"/>
      </w:rPr>
    </w:lvl>
    <w:lvl w:ilvl="8" w:tplc="040C0005" w:tentative="1">
      <w:start w:val="1"/>
      <w:numFmt w:val="bullet"/>
      <w:lvlText w:val=""/>
      <w:lvlJc w:val="left"/>
      <w:pPr>
        <w:ind w:left="6550" w:hanging="360"/>
      </w:pPr>
      <w:rPr>
        <w:rFonts w:ascii="Wingdings" w:hAnsi="Wingdings" w:hint="default"/>
      </w:rPr>
    </w:lvl>
  </w:abstractNum>
  <w:abstractNum w:abstractNumId="12" w15:restartNumberingAfterBreak="0">
    <w:nsid w:val="53233307"/>
    <w:multiLevelType w:val="hybridMultilevel"/>
    <w:tmpl w:val="B84A62DE"/>
    <w:lvl w:ilvl="0" w:tplc="073CF028">
      <w:start w:val="1"/>
      <w:numFmt w:val="bullet"/>
      <w:lvlText w:val=""/>
      <w:lvlJc w:val="left"/>
      <w:pPr>
        <w:ind w:left="790" w:hanging="360"/>
      </w:pPr>
      <w:rPr>
        <w:rFonts w:ascii="Symbol" w:hAnsi="Symbol" w:hint="default"/>
      </w:rPr>
    </w:lvl>
    <w:lvl w:ilvl="1" w:tplc="040C0003" w:tentative="1">
      <w:start w:val="1"/>
      <w:numFmt w:val="bullet"/>
      <w:lvlText w:val="o"/>
      <w:lvlJc w:val="left"/>
      <w:pPr>
        <w:ind w:left="1510" w:hanging="360"/>
      </w:pPr>
      <w:rPr>
        <w:rFonts w:ascii="Courier New" w:hAnsi="Courier New" w:cs="Courier New" w:hint="default"/>
      </w:rPr>
    </w:lvl>
    <w:lvl w:ilvl="2" w:tplc="040C0005" w:tentative="1">
      <w:start w:val="1"/>
      <w:numFmt w:val="bullet"/>
      <w:lvlText w:val=""/>
      <w:lvlJc w:val="left"/>
      <w:pPr>
        <w:ind w:left="2230" w:hanging="360"/>
      </w:pPr>
      <w:rPr>
        <w:rFonts w:ascii="Wingdings" w:hAnsi="Wingdings" w:hint="default"/>
      </w:rPr>
    </w:lvl>
    <w:lvl w:ilvl="3" w:tplc="040C0001" w:tentative="1">
      <w:start w:val="1"/>
      <w:numFmt w:val="bullet"/>
      <w:lvlText w:val=""/>
      <w:lvlJc w:val="left"/>
      <w:pPr>
        <w:ind w:left="2950" w:hanging="360"/>
      </w:pPr>
      <w:rPr>
        <w:rFonts w:ascii="Symbol" w:hAnsi="Symbol" w:hint="default"/>
      </w:rPr>
    </w:lvl>
    <w:lvl w:ilvl="4" w:tplc="040C0003" w:tentative="1">
      <w:start w:val="1"/>
      <w:numFmt w:val="bullet"/>
      <w:lvlText w:val="o"/>
      <w:lvlJc w:val="left"/>
      <w:pPr>
        <w:ind w:left="3670" w:hanging="360"/>
      </w:pPr>
      <w:rPr>
        <w:rFonts w:ascii="Courier New" w:hAnsi="Courier New" w:cs="Courier New" w:hint="default"/>
      </w:rPr>
    </w:lvl>
    <w:lvl w:ilvl="5" w:tplc="040C0005" w:tentative="1">
      <w:start w:val="1"/>
      <w:numFmt w:val="bullet"/>
      <w:lvlText w:val=""/>
      <w:lvlJc w:val="left"/>
      <w:pPr>
        <w:ind w:left="4390" w:hanging="360"/>
      </w:pPr>
      <w:rPr>
        <w:rFonts w:ascii="Wingdings" w:hAnsi="Wingdings" w:hint="default"/>
      </w:rPr>
    </w:lvl>
    <w:lvl w:ilvl="6" w:tplc="040C0001" w:tentative="1">
      <w:start w:val="1"/>
      <w:numFmt w:val="bullet"/>
      <w:lvlText w:val=""/>
      <w:lvlJc w:val="left"/>
      <w:pPr>
        <w:ind w:left="5110" w:hanging="360"/>
      </w:pPr>
      <w:rPr>
        <w:rFonts w:ascii="Symbol" w:hAnsi="Symbol" w:hint="default"/>
      </w:rPr>
    </w:lvl>
    <w:lvl w:ilvl="7" w:tplc="040C0003" w:tentative="1">
      <w:start w:val="1"/>
      <w:numFmt w:val="bullet"/>
      <w:lvlText w:val="o"/>
      <w:lvlJc w:val="left"/>
      <w:pPr>
        <w:ind w:left="5830" w:hanging="360"/>
      </w:pPr>
      <w:rPr>
        <w:rFonts w:ascii="Courier New" w:hAnsi="Courier New" w:cs="Courier New" w:hint="default"/>
      </w:rPr>
    </w:lvl>
    <w:lvl w:ilvl="8" w:tplc="040C0005" w:tentative="1">
      <w:start w:val="1"/>
      <w:numFmt w:val="bullet"/>
      <w:lvlText w:val=""/>
      <w:lvlJc w:val="left"/>
      <w:pPr>
        <w:ind w:left="6550" w:hanging="360"/>
      </w:pPr>
      <w:rPr>
        <w:rFonts w:ascii="Wingdings" w:hAnsi="Wingdings" w:hint="default"/>
      </w:rPr>
    </w:lvl>
  </w:abstractNum>
  <w:abstractNum w:abstractNumId="13" w15:restartNumberingAfterBreak="0">
    <w:nsid w:val="55A01B4F"/>
    <w:multiLevelType w:val="hybridMultilevel"/>
    <w:tmpl w:val="AA7609E8"/>
    <w:lvl w:ilvl="0" w:tplc="073CF028">
      <w:start w:val="1"/>
      <w:numFmt w:val="bullet"/>
      <w:lvlText w:val=""/>
      <w:lvlJc w:val="left"/>
      <w:pPr>
        <w:ind w:left="790" w:hanging="360"/>
      </w:pPr>
      <w:rPr>
        <w:rFonts w:ascii="Symbol" w:hAnsi="Symbol" w:hint="default"/>
      </w:rPr>
    </w:lvl>
    <w:lvl w:ilvl="1" w:tplc="040C0003" w:tentative="1">
      <w:start w:val="1"/>
      <w:numFmt w:val="bullet"/>
      <w:lvlText w:val="o"/>
      <w:lvlJc w:val="left"/>
      <w:pPr>
        <w:ind w:left="1510" w:hanging="360"/>
      </w:pPr>
      <w:rPr>
        <w:rFonts w:ascii="Courier New" w:hAnsi="Courier New" w:cs="Courier New" w:hint="default"/>
      </w:rPr>
    </w:lvl>
    <w:lvl w:ilvl="2" w:tplc="040C0005" w:tentative="1">
      <w:start w:val="1"/>
      <w:numFmt w:val="bullet"/>
      <w:lvlText w:val=""/>
      <w:lvlJc w:val="left"/>
      <w:pPr>
        <w:ind w:left="2230" w:hanging="360"/>
      </w:pPr>
      <w:rPr>
        <w:rFonts w:ascii="Wingdings" w:hAnsi="Wingdings" w:hint="default"/>
      </w:rPr>
    </w:lvl>
    <w:lvl w:ilvl="3" w:tplc="040C0001" w:tentative="1">
      <w:start w:val="1"/>
      <w:numFmt w:val="bullet"/>
      <w:lvlText w:val=""/>
      <w:lvlJc w:val="left"/>
      <w:pPr>
        <w:ind w:left="2950" w:hanging="360"/>
      </w:pPr>
      <w:rPr>
        <w:rFonts w:ascii="Symbol" w:hAnsi="Symbol" w:hint="default"/>
      </w:rPr>
    </w:lvl>
    <w:lvl w:ilvl="4" w:tplc="040C0003" w:tentative="1">
      <w:start w:val="1"/>
      <w:numFmt w:val="bullet"/>
      <w:lvlText w:val="o"/>
      <w:lvlJc w:val="left"/>
      <w:pPr>
        <w:ind w:left="3670" w:hanging="360"/>
      </w:pPr>
      <w:rPr>
        <w:rFonts w:ascii="Courier New" w:hAnsi="Courier New" w:cs="Courier New" w:hint="default"/>
      </w:rPr>
    </w:lvl>
    <w:lvl w:ilvl="5" w:tplc="040C0005" w:tentative="1">
      <w:start w:val="1"/>
      <w:numFmt w:val="bullet"/>
      <w:lvlText w:val=""/>
      <w:lvlJc w:val="left"/>
      <w:pPr>
        <w:ind w:left="4390" w:hanging="360"/>
      </w:pPr>
      <w:rPr>
        <w:rFonts w:ascii="Wingdings" w:hAnsi="Wingdings" w:hint="default"/>
      </w:rPr>
    </w:lvl>
    <w:lvl w:ilvl="6" w:tplc="040C0001" w:tentative="1">
      <w:start w:val="1"/>
      <w:numFmt w:val="bullet"/>
      <w:lvlText w:val=""/>
      <w:lvlJc w:val="left"/>
      <w:pPr>
        <w:ind w:left="5110" w:hanging="360"/>
      </w:pPr>
      <w:rPr>
        <w:rFonts w:ascii="Symbol" w:hAnsi="Symbol" w:hint="default"/>
      </w:rPr>
    </w:lvl>
    <w:lvl w:ilvl="7" w:tplc="040C0003" w:tentative="1">
      <w:start w:val="1"/>
      <w:numFmt w:val="bullet"/>
      <w:lvlText w:val="o"/>
      <w:lvlJc w:val="left"/>
      <w:pPr>
        <w:ind w:left="5830" w:hanging="360"/>
      </w:pPr>
      <w:rPr>
        <w:rFonts w:ascii="Courier New" w:hAnsi="Courier New" w:cs="Courier New" w:hint="default"/>
      </w:rPr>
    </w:lvl>
    <w:lvl w:ilvl="8" w:tplc="040C0005" w:tentative="1">
      <w:start w:val="1"/>
      <w:numFmt w:val="bullet"/>
      <w:lvlText w:val=""/>
      <w:lvlJc w:val="left"/>
      <w:pPr>
        <w:ind w:left="6550" w:hanging="360"/>
      </w:pPr>
      <w:rPr>
        <w:rFonts w:ascii="Wingdings" w:hAnsi="Wingdings" w:hint="default"/>
      </w:rPr>
    </w:lvl>
  </w:abstractNum>
  <w:abstractNum w:abstractNumId="14" w15:restartNumberingAfterBreak="0">
    <w:nsid w:val="67BC61CF"/>
    <w:multiLevelType w:val="hybridMultilevel"/>
    <w:tmpl w:val="FC0C21C4"/>
    <w:lvl w:ilvl="0" w:tplc="EFC27D92">
      <w:start w:val="1"/>
      <w:numFmt w:val="bullet"/>
      <w:lvlText w:val="-"/>
      <w:lvlJc w:val="left"/>
      <w:pPr>
        <w:ind w:left="720" w:hanging="360"/>
      </w:pPr>
      <w:rPr>
        <w:rFonts w:ascii="Yu Mincho Light" w:eastAsia="Yu Mincho Light" w:hAnsi="Yu Mincho Light" w:hint="eastAsi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AA45FBB"/>
    <w:multiLevelType w:val="hybridMultilevel"/>
    <w:tmpl w:val="9BCA3DEE"/>
    <w:lvl w:ilvl="0" w:tplc="EFC27D92">
      <w:start w:val="1"/>
      <w:numFmt w:val="bullet"/>
      <w:lvlText w:val="-"/>
      <w:lvlJc w:val="left"/>
      <w:pPr>
        <w:ind w:left="720" w:hanging="360"/>
      </w:pPr>
      <w:rPr>
        <w:rFonts w:ascii="Yu Mincho Light" w:eastAsia="Yu Mincho Light" w:hAnsi="Yu Mincho Light" w:hint="eastAsi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E126964"/>
    <w:multiLevelType w:val="hybridMultilevel"/>
    <w:tmpl w:val="00B68CC2"/>
    <w:lvl w:ilvl="0" w:tplc="EFC27D92">
      <w:start w:val="1"/>
      <w:numFmt w:val="bullet"/>
      <w:lvlText w:val="-"/>
      <w:lvlJc w:val="left"/>
      <w:pPr>
        <w:ind w:left="2424" w:hanging="360"/>
      </w:pPr>
      <w:rPr>
        <w:rFonts w:ascii="Yu Mincho Light" w:eastAsia="Yu Mincho Light" w:hAnsi="Yu Mincho Light" w:hint="eastAsia"/>
        <w:sz w:val="22"/>
        <w:szCs w:val="22"/>
      </w:rPr>
    </w:lvl>
    <w:lvl w:ilvl="1" w:tplc="E57A0A18">
      <w:numFmt w:val="decimal"/>
      <w:lvlText w:val=""/>
      <w:lvlJc w:val="left"/>
    </w:lvl>
    <w:lvl w:ilvl="2" w:tplc="744611C4">
      <w:numFmt w:val="decimal"/>
      <w:lvlText w:val=""/>
      <w:lvlJc w:val="left"/>
    </w:lvl>
    <w:lvl w:ilvl="3" w:tplc="E1FAB346">
      <w:numFmt w:val="decimal"/>
      <w:lvlText w:val=""/>
      <w:lvlJc w:val="left"/>
    </w:lvl>
    <w:lvl w:ilvl="4" w:tplc="2FBA73F6">
      <w:numFmt w:val="decimal"/>
      <w:lvlText w:val=""/>
      <w:lvlJc w:val="left"/>
    </w:lvl>
    <w:lvl w:ilvl="5" w:tplc="150856FE">
      <w:numFmt w:val="decimal"/>
      <w:lvlText w:val=""/>
      <w:lvlJc w:val="left"/>
    </w:lvl>
    <w:lvl w:ilvl="6" w:tplc="D676241C">
      <w:numFmt w:val="decimal"/>
      <w:lvlText w:val=""/>
      <w:lvlJc w:val="left"/>
    </w:lvl>
    <w:lvl w:ilvl="7" w:tplc="B00C5BA6">
      <w:numFmt w:val="decimal"/>
      <w:lvlText w:val=""/>
      <w:lvlJc w:val="left"/>
    </w:lvl>
    <w:lvl w:ilvl="8" w:tplc="51907FCC">
      <w:numFmt w:val="decimal"/>
      <w:lvlText w:val=""/>
      <w:lvlJc w:val="left"/>
    </w:lvl>
  </w:abstractNum>
  <w:abstractNum w:abstractNumId="17" w15:restartNumberingAfterBreak="0">
    <w:nsid w:val="6F416BBF"/>
    <w:multiLevelType w:val="hybridMultilevel"/>
    <w:tmpl w:val="8E00FAE6"/>
    <w:lvl w:ilvl="0" w:tplc="EFC27D92">
      <w:start w:val="1"/>
      <w:numFmt w:val="bullet"/>
      <w:lvlText w:val="-"/>
      <w:lvlJc w:val="left"/>
      <w:pPr>
        <w:ind w:left="720" w:hanging="360"/>
      </w:pPr>
      <w:rPr>
        <w:rFonts w:ascii="Yu Mincho Light" w:eastAsia="Yu Mincho Light" w:hAnsi="Yu Mincho Light" w:hint="eastAsi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144471557">
    <w:abstractNumId w:val="11"/>
  </w:num>
  <w:num w:numId="2" w16cid:durableId="533422703">
    <w:abstractNumId w:val="2"/>
  </w:num>
  <w:num w:numId="3" w16cid:durableId="2116095288">
    <w:abstractNumId w:val="12"/>
  </w:num>
  <w:num w:numId="4" w16cid:durableId="1821656141">
    <w:abstractNumId w:val="1"/>
  </w:num>
  <w:num w:numId="5" w16cid:durableId="523135385">
    <w:abstractNumId w:val="13"/>
  </w:num>
  <w:num w:numId="6" w16cid:durableId="1299842890">
    <w:abstractNumId w:val="10"/>
  </w:num>
  <w:num w:numId="7" w16cid:durableId="2075081073">
    <w:abstractNumId w:val="16"/>
  </w:num>
  <w:num w:numId="8" w16cid:durableId="1187207287">
    <w:abstractNumId w:val="16"/>
  </w:num>
  <w:num w:numId="9" w16cid:durableId="379868082">
    <w:abstractNumId w:val="4"/>
  </w:num>
  <w:num w:numId="10" w16cid:durableId="321126607">
    <w:abstractNumId w:val="6"/>
  </w:num>
  <w:num w:numId="11" w16cid:durableId="166091799">
    <w:abstractNumId w:val="7"/>
  </w:num>
  <w:num w:numId="12" w16cid:durableId="1525047415">
    <w:abstractNumId w:val="17"/>
  </w:num>
  <w:num w:numId="13" w16cid:durableId="309336357">
    <w:abstractNumId w:val="14"/>
  </w:num>
  <w:num w:numId="14" w16cid:durableId="1103920987">
    <w:abstractNumId w:val="5"/>
  </w:num>
  <w:num w:numId="15" w16cid:durableId="1795707024">
    <w:abstractNumId w:val="3"/>
  </w:num>
  <w:num w:numId="16" w16cid:durableId="1783262271">
    <w:abstractNumId w:val="15"/>
  </w:num>
  <w:num w:numId="17" w16cid:durableId="689456465">
    <w:abstractNumId w:val="8"/>
  </w:num>
  <w:num w:numId="18" w16cid:durableId="1737387849">
    <w:abstractNumId w:val="0"/>
  </w:num>
  <w:num w:numId="19" w16cid:durableId="151592514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6"/>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81C"/>
    <w:rsid w:val="00001787"/>
    <w:rsid w:val="0000403F"/>
    <w:rsid w:val="00004555"/>
    <w:rsid w:val="000150AB"/>
    <w:rsid w:val="00020AF8"/>
    <w:rsid w:val="0002563A"/>
    <w:rsid w:val="000320FD"/>
    <w:rsid w:val="00032923"/>
    <w:rsid w:val="00037C58"/>
    <w:rsid w:val="000408B6"/>
    <w:rsid w:val="0004227A"/>
    <w:rsid w:val="00053FE3"/>
    <w:rsid w:val="00056439"/>
    <w:rsid w:val="00056D9F"/>
    <w:rsid w:val="00056FB3"/>
    <w:rsid w:val="00061C61"/>
    <w:rsid w:val="00065EEB"/>
    <w:rsid w:val="00074C02"/>
    <w:rsid w:val="000760E7"/>
    <w:rsid w:val="00076244"/>
    <w:rsid w:val="00082702"/>
    <w:rsid w:val="00085A24"/>
    <w:rsid w:val="00086FFE"/>
    <w:rsid w:val="00091ADD"/>
    <w:rsid w:val="000A20D5"/>
    <w:rsid w:val="000A36E8"/>
    <w:rsid w:val="000B3891"/>
    <w:rsid w:val="000C2D81"/>
    <w:rsid w:val="000C33DF"/>
    <w:rsid w:val="000C6359"/>
    <w:rsid w:val="000D1E0B"/>
    <w:rsid w:val="000D5E81"/>
    <w:rsid w:val="000E4F5B"/>
    <w:rsid w:val="000F53A5"/>
    <w:rsid w:val="001065FF"/>
    <w:rsid w:val="00114081"/>
    <w:rsid w:val="0012040E"/>
    <w:rsid w:val="00124843"/>
    <w:rsid w:val="00126021"/>
    <w:rsid w:val="00131A3B"/>
    <w:rsid w:val="001339F1"/>
    <w:rsid w:val="001352E3"/>
    <w:rsid w:val="00136E61"/>
    <w:rsid w:val="001426D3"/>
    <w:rsid w:val="00142DD2"/>
    <w:rsid w:val="00143735"/>
    <w:rsid w:val="001525DA"/>
    <w:rsid w:val="001538E1"/>
    <w:rsid w:val="00155FCC"/>
    <w:rsid w:val="001623CE"/>
    <w:rsid w:val="00162B29"/>
    <w:rsid w:val="00162ECD"/>
    <w:rsid w:val="00164F6F"/>
    <w:rsid w:val="00172B0A"/>
    <w:rsid w:val="001739C9"/>
    <w:rsid w:val="0017710D"/>
    <w:rsid w:val="0017794C"/>
    <w:rsid w:val="001810F1"/>
    <w:rsid w:val="0018184B"/>
    <w:rsid w:val="0019144F"/>
    <w:rsid w:val="001948A3"/>
    <w:rsid w:val="001A053E"/>
    <w:rsid w:val="001B45EB"/>
    <w:rsid w:val="001B6765"/>
    <w:rsid w:val="001C1D95"/>
    <w:rsid w:val="001C201F"/>
    <w:rsid w:val="001C7253"/>
    <w:rsid w:val="001D3174"/>
    <w:rsid w:val="001D3A67"/>
    <w:rsid w:val="001D7CB1"/>
    <w:rsid w:val="001E1918"/>
    <w:rsid w:val="001E3988"/>
    <w:rsid w:val="001E76A5"/>
    <w:rsid w:val="001F051A"/>
    <w:rsid w:val="001F0A84"/>
    <w:rsid w:val="001F4811"/>
    <w:rsid w:val="001F4FD3"/>
    <w:rsid w:val="001F6D14"/>
    <w:rsid w:val="00202954"/>
    <w:rsid w:val="002049F2"/>
    <w:rsid w:val="00207F6C"/>
    <w:rsid w:val="002115F0"/>
    <w:rsid w:val="00211813"/>
    <w:rsid w:val="00211BF6"/>
    <w:rsid w:val="00213DDE"/>
    <w:rsid w:val="002149CE"/>
    <w:rsid w:val="0021746B"/>
    <w:rsid w:val="002214FB"/>
    <w:rsid w:val="00233A98"/>
    <w:rsid w:val="002358C0"/>
    <w:rsid w:val="0023598B"/>
    <w:rsid w:val="002411AE"/>
    <w:rsid w:val="00241378"/>
    <w:rsid w:val="002455E9"/>
    <w:rsid w:val="002578A8"/>
    <w:rsid w:val="00260C61"/>
    <w:rsid w:val="00264148"/>
    <w:rsid w:val="002658DC"/>
    <w:rsid w:val="00272141"/>
    <w:rsid w:val="0027226D"/>
    <w:rsid w:val="0027321D"/>
    <w:rsid w:val="00277482"/>
    <w:rsid w:val="002811E6"/>
    <w:rsid w:val="002815EC"/>
    <w:rsid w:val="0028459E"/>
    <w:rsid w:val="00284F52"/>
    <w:rsid w:val="002860C8"/>
    <w:rsid w:val="002908BD"/>
    <w:rsid w:val="002919EA"/>
    <w:rsid w:val="00294E0E"/>
    <w:rsid w:val="00295B56"/>
    <w:rsid w:val="002A232E"/>
    <w:rsid w:val="002A282C"/>
    <w:rsid w:val="002A3168"/>
    <w:rsid w:val="002B21BE"/>
    <w:rsid w:val="002C104D"/>
    <w:rsid w:val="002C152B"/>
    <w:rsid w:val="002C6157"/>
    <w:rsid w:val="002D4718"/>
    <w:rsid w:val="002E3843"/>
    <w:rsid w:val="002F6005"/>
    <w:rsid w:val="00301148"/>
    <w:rsid w:val="003037B8"/>
    <w:rsid w:val="00303B73"/>
    <w:rsid w:val="003054B6"/>
    <w:rsid w:val="003110FC"/>
    <w:rsid w:val="0031473B"/>
    <w:rsid w:val="00321DAD"/>
    <w:rsid w:val="003257D3"/>
    <w:rsid w:val="00327CB5"/>
    <w:rsid w:val="00332875"/>
    <w:rsid w:val="00335041"/>
    <w:rsid w:val="00340262"/>
    <w:rsid w:val="00342ABA"/>
    <w:rsid w:val="003455C0"/>
    <w:rsid w:val="003476F7"/>
    <w:rsid w:val="00350139"/>
    <w:rsid w:val="00351F51"/>
    <w:rsid w:val="00354F66"/>
    <w:rsid w:val="00355889"/>
    <w:rsid w:val="003624C4"/>
    <w:rsid w:val="003671F3"/>
    <w:rsid w:val="00373816"/>
    <w:rsid w:val="00374745"/>
    <w:rsid w:val="00374AA1"/>
    <w:rsid w:val="003775B3"/>
    <w:rsid w:val="003957A8"/>
    <w:rsid w:val="003A327C"/>
    <w:rsid w:val="003B7E6F"/>
    <w:rsid w:val="003C070F"/>
    <w:rsid w:val="003C505C"/>
    <w:rsid w:val="003C5D67"/>
    <w:rsid w:val="003C6C42"/>
    <w:rsid w:val="003E073A"/>
    <w:rsid w:val="003E5DBB"/>
    <w:rsid w:val="003F014B"/>
    <w:rsid w:val="003F3CDE"/>
    <w:rsid w:val="004067A8"/>
    <w:rsid w:val="00411081"/>
    <w:rsid w:val="00415CA1"/>
    <w:rsid w:val="00424AAE"/>
    <w:rsid w:val="00425CA8"/>
    <w:rsid w:val="004261C5"/>
    <w:rsid w:val="004279D5"/>
    <w:rsid w:val="00427E99"/>
    <w:rsid w:val="00430539"/>
    <w:rsid w:val="004355E9"/>
    <w:rsid w:val="00452D14"/>
    <w:rsid w:val="00452DF8"/>
    <w:rsid w:val="00461D28"/>
    <w:rsid w:val="00464524"/>
    <w:rsid w:val="00465D1A"/>
    <w:rsid w:val="00466255"/>
    <w:rsid w:val="00470B3C"/>
    <w:rsid w:val="00481D54"/>
    <w:rsid w:val="00482E83"/>
    <w:rsid w:val="00492B91"/>
    <w:rsid w:val="004942FD"/>
    <w:rsid w:val="004951B0"/>
    <w:rsid w:val="004A1629"/>
    <w:rsid w:val="004A4ADE"/>
    <w:rsid w:val="004B5599"/>
    <w:rsid w:val="004B69BC"/>
    <w:rsid w:val="004C1A83"/>
    <w:rsid w:val="004C49B6"/>
    <w:rsid w:val="004C5168"/>
    <w:rsid w:val="004E1257"/>
    <w:rsid w:val="004E5D51"/>
    <w:rsid w:val="004F1506"/>
    <w:rsid w:val="004F306A"/>
    <w:rsid w:val="004F4AEE"/>
    <w:rsid w:val="005115A1"/>
    <w:rsid w:val="005202C7"/>
    <w:rsid w:val="005262CF"/>
    <w:rsid w:val="00527520"/>
    <w:rsid w:val="00527F0E"/>
    <w:rsid w:val="00534E81"/>
    <w:rsid w:val="00543AFB"/>
    <w:rsid w:val="00547B8F"/>
    <w:rsid w:val="00550FC1"/>
    <w:rsid w:val="0055181C"/>
    <w:rsid w:val="00554183"/>
    <w:rsid w:val="005621C6"/>
    <w:rsid w:val="00562E94"/>
    <w:rsid w:val="00571861"/>
    <w:rsid w:val="005731AC"/>
    <w:rsid w:val="005904E3"/>
    <w:rsid w:val="00592257"/>
    <w:rsid w:val="00594EEB"/>
    <w:rsid w:val="005951EF"/>
    <w:rsid w:val="00596B6E"/>
    <w:rsid w:val="005978DA"/>
    <w:rsid w:val="005A1273"/>
    <w:rsid w:val="005A15C5"/>
    <w:rsid w:val="005A285F"/>
    <w:rsid w:val="005A33BC"/>
    <w:rsid w:val="005A62EB"/>
    <w:rsid w:val="005C2B4C"/>
    <w:rsid w:val="005C785A"/>
    <w:rsid w:val="005D4665"/>
    <w:rsid w:val="005D51DF"/>
    <w:rsid w:val="005E3075"/>
    <w:rsid w:val="005E7C33"/>
    <w:rsid w:val="005F0459"/>
    <w:rsid w:val="006010F4"/>
    <w:rsid w:val="006232CF"/>
    <w:rsid w:val="00627282"/>
    <w:rsid w:val="0063020F"/>
    <w:rsid w:val="00635CD2"/>
    <w:rsid w:val="00637C6B"/>
    <w:rsid w:val="00641F95"/>
    <w:rsid w:val="00661585"/>
    <w:rsid w:val="00661AC2"/>
    <w:rsid w:val="00662809"/>
    <w:rsid w:val="00662F29"/>
    <w:rsid w:val="00663B4A"/>
    <w:rsid w:val="006750E8"/>
    <w:rsid w:val="006839B4"/>
    <w:rsid w:val="00686380"/>
    <w:rsid w:val="00694ECD"/>
    <w:rsid w:val="00695853"/>
    <w:rsid w:val="006A314C"/>
    <w:rsid w:val="006C66A3"/>
    <w:rsid w:val="006D258D"/>
    <w:rsid w:val="006E0F0A"/>
    <w:rsid w:val="006E1AB6"/>
    <w:rsid w:val="006E227A"/>
    <w:rsid w:val="006E33D2"/>
    <w:rsid w:val="006E681E"/>
    <w:rsid w:val="006E77C1"/>
    <w:rsid w:val="006E79B4"/>
    <w:rsid w:val="006F1F16"/>
    <w:rsid w:val="006F706A"/>
    <w:rsid w:val="0070324D"/>
    <w:rsid w:val="00705B61"/>
    <w:rsid w:val="00715C96"/>
    <w:rsid w:val="007349EB"/>
    <w:rsid w:val="007358D5"/>
    <w:rsid w:val="00737669"/>
    <w:rsid w:val="00737C51"/>
    <w:rsid w:val="007400A9"/>
    <w:rsid w:val="007420E3"/>
    <w:rsid w:val="00757875"/>
    <w:rsid w:val="00762536"/>
    <w:rsid w:val="00767D5E"/>
    <w:rsid w:val="00772F70"/>
    <w:rsid w:val="00774B4F"/>
    <w:rsid w:val="00780F5E"/>
    <w:rsid w:val="007839D4"/>
    <w:rsid w:val="00784407"/>
    <w:rsid w:val="00785445"/>
    <w:rsid w:val="007857D1"/>
    <w:rsid w:val="00786362"/>
    <w:rsid w:val="00792A27"/>
    <w:rsid w:val="00794F4D"/>
    <w:rsid w:val="00795FB9"/>
    <w:rsid w:val="007B2F74"/>
    <w:rsid w:val="007B707C"/>
    <w:rsid w:val="007B7F55"/>
    <w:rsid w:val="007C1E58"/>
    <w:rsid w:val="007C297E"/>
    <w:rsid w:val="007D09F4"/>
    <w:rsid w:val="007D26B4"/>
    <w:rsid w:val="007D722C"/>
    <w:rsid w:val="007E2F01"/>
    <w:rsid w:val="007E58D6"/>
    <w:rsid w:val="007E6255"/>
    <w:rsid w:val="007F05B7"/>
    <w:rsid w:val="007F1E3F"/>
    <w:rsid w:val="007F38ED"/>
    <w:rsid w:val="008031B4"/>
    <w:rsid w:val="00805D10"/>
    <w:rsid w:val="00806AB1"/>
    <w:rsid w:val="0081412D"/>
    <w:rsid w:val="00815FB3"/>
    <w:rsid w:val="00817AF3"/>
    <w:rsid w:val="008223E4"/>
    <w:rsid w:val="008241F6"/>
    <w:rsid w:val="00826BA5"/>
    <w:rsid w:val="008314C1"/>
    <w:rsid w:val="00831F74"/>
    <w:rsid w:val="00834740"/>
    <w:rsid w:val="00840F4F"/>
    <w:rsid w:val="00843E78"/>
    <w:rsid w:val="008456A4"/>
    <w:rsid w:val="00846544"/>
    <w:rsid w:val="0084711E"/>
    <w:rsid w:val="008534C6"/>
    <w:rsid w:val="008627BF"/>
    <w:rsid w:val="008654D2"/>
    <w:rsid w:val="00872A82"/>
    <w:rsid w:val="00873932"/>
    <w:rsid w:val="00877F3A"/>
    <w:rsid w:val="008825D6"/>
    <w:rsid w:val="00882A86"/>
    <w:rsid w:val="0088792B"/>
    <w:rsid w:val="008901A0"/>
    <w:rsid w:val="008946E4"/>
    <w:rsid w:val="008B1CD2"/>
    <w:rsid w:val="008B2938"/>
    <w:rsid w:val="008C29B6"/>
    <w:rsid w:val="008C2CFC"/>
    <w:rsid w:val="008C3B77"/>
    <w:rsid w:val="008C62B2"/>
    <w:rsid w:val="008C6711"/>
    <w:rsid w:val="008D540B"/>
    <w:rsid w:val="008D5DC1"/>
    <w:rsid w:val="008E1C1A"/>
    <w:rsid w:val="008E29AB"/>
    <w:rsid w:val="008F1CB0"/>
    <w:rsid w:val="008F3292"/>
    <w:rsid w:val="008F7E43"/>
    <w:rsid w:val="00901D1F"/>
    <w:rsid w:val="009055D9"/>
    <w:rsid w:val="00905EC1"/>
    <w:rsid w:val="00907336"/>
    <w:rsid w:val="0090765F"/>
    <w:rsid w:val="00911A83"/>
    <w:rsid w:val="0091430E"/>
    <w:rsid w:val="009219CF"/>
    <w:rsid w:val="00925BEC"/>
    <w:rsid w:val="00930BA2"/>
    <w:rsid w:val="00930E59"/>
    <w:rsid w:val="00931A59"/>
    <w:rsid w:val="00932A66"/>
    <w:rsid w:val="00933656"/>
    <w:rsid w:val="009414BA"/>
    <w:rsid w:val="00944A88"/>
    <w:rsid w:val="00945923"/>
    <w:rsid w:val="00952137"/>
    <w:rsid w:val="0095498A"/>
    <w:rsid w:val="0096003D"/>
    <w:rsid w:val="009645AC"/>
    <w:rsid w:val="00965B82"/>
    <w:rsid w:val="00967A5D"/>
    <w:rsid w:val="0097609E"/>
    <w:rsid w:val="00986398"/>
    <w:rsid w:val="0099057A"/>
    <w:rsid w:val="00994E4A"/>
    <w:rsid w:val="00995448"/>
    <w:rsid w:val="00996279"/>
    <w:rsid w:val="0099631A"/>
    <w:rsid w:val="009A2940"/>
    <w:rsid w:val="009A6C3A"/>
    <w:rsid w:val="009B1F85"/>
    <w:rsid w:val="009B7DFE"/>
    <w:rsid w:val="009C2FF4"/>
    <w:rsid w:val="009C43B4"/>
    <w:rsid w:val="009C5490"/>
    <w:rsid w:val="009D118C"/>
    <w:rsid w:val="009D47D8"/>
    <w:rsid w:val="009D5D74"/>
    <w:rsid w:val="009D79F5"/>
    <w:rsid w:val="009E04A8"/>
    <w:rsid w:val="009E36CC"/>
    <w:rsid w:val="009F2560"/>
    <w:rsid w:val="009F4017"/>
    <w:rsid w:val="009F4CD8"/>
    <w:rsid w:val="009F6538"/>
    <w:rsid w:val="00A03371"/>
    <w:rsid w:val="00A10350"/>
    <w:rsid w:val="00A22254"/>
    <w:rsid w:val="00A26B34"/>
    <w:rsid w:val="00A304BA"/>
    <w:rsid w:val="00A33499"/>
    <w:rsid w:val="00A3649B"/>
    <w:rsid w:val="00A40312"/>
    <w:rsid w:val="00A432FB"/>
    <w:rsid w:val="00A45D3E"/>
    <w:rsid w:val="00A46A96"/>
    <w:rsid w:val="00A56823"/>
    <w:rsid w:val="00A5754D"/>
    <w:rsid w:val="00A57D8C"/>
    <w:rsid w:val="00A63CE8"/>
    <w:rsid w:val="00A71B30"/>
    <w:rsid w:val="00A7442B"/>
    <w:rsid w:val="00A763F3"/>
    <w:rsid w:val="00A77809"/>
    <w:rsid w:val="00A8693A"/>
    <w:rsid w:val="00A87A90"/>
    <w:rsid w:val="00A941F0"/>
    <w:rsid w:val="00AC3AC0"/>
    <w:rsid w:val="00AC526B"/>
    <w:rsid w:val="00AE0A4F"/>
    <w:rsid w:val="00AE5B63"/>
    <w:rsid w:val="00AF3101"/>
    <w:rsid w:val="00AF32B5"/>
    <w:rsid w:val="00AF3BBC"/>
    <w:rsid w:val="00B0450F"/>
    <w:rsid w:val="00B11734"/>
    <w:rsid w:val="00B13CC9"/>
    <w:rsid w:val="00B22D03"/>
    <w:rsid w:val="00B34CA9"/>
    <w:rsid w:val="00B375DF"/>
    <w:rsid w:val="00B41DA0"/>
    <w:rsid w:val="00B54562"/>
    <w:rsid w:val="00B610D9"/>
    <w:rsid w:val="00B623BC"/>
    <w:rsid w:val="00B642F4"/>
    <w:rsid w:val="00B65E6E"/>
    <w:rsid w:val="00B701A9"/>
    <w:rsid w:val="00B702A3"/>
    <w:rsid w:val="00B80331"/>
    <w:rsid w:val="00B80705"/>
    <w:rsid w:val="00B82EDD"/>
    <w:rsid w:val="00B97AD3"/>
    <w:rsid w:val="00BA14BE"/>
    <w:rsid w:val="00BA363B"/>
    <w:rsid w:val="00BA4580"/>
    <w:rsid w:val="00BA4CE4"/>
    <w:rsid w:val="00BB00CD"/>
    <w:rsid w:val="00BC1B34"/>
    <w:rsid w:val="00BD0829"/>
    <w:rsid w:val="00BD7273"/>
    <w:rsid w:val="00BE1DCC"/>
    <w:rsid w:val="00BE4828"/>
    <w:rsid w:val="00C01B6C"/>
    <w:rsid w:val="00C027E4"/>
    <w:rsid w:val="00C06797"/>
    <w:rsid w:val="00C07CBC"/>
    <w:rsid w:val="00C1454F"/>
    <w:rsid w:val="00C15BFC"/>
    <w:rsid w:val="00C438BE"/>
    <w:rsid w:val="00C439FA"/>
    <w:rsid w:val="00C43E21"/>
    <w:rsid w:val="00C563CF"/>
    <w:rsid w:val="00C57E66"/>
    <w:rsid w:val="00C60A59"/>
    <w:rsid w:val="00C63EB5"/>
    <w:rsid w:val="00C667CF"/>
    <w:rsid w:val="00C706D5"/>
    <w:rsid w:val="00C72836"/>
    <w:rsid w:val="00C7764F"/>
    <w:rsid w:val="00C8436A"/>
    <w:rsid w:val="00C84A07"/>
    <w:rsid w:val="00C920D3"/>
    <w:rsid w:val="00C9328A"/>
    <w:rsid w:val="00C956D4"/>
    <w:rsid w:val="00C97F19"/>
    <w:rsid w:val="00CA2821"/>
    <w:rsid w:val="00CA53EE"/>
    <w:rsid w:val="00CC0A43"/>
    <w:rsid w:val="00CC1785"/>
    <w:rsid w:val="00CD111F"/>
    <w:rsid w:val="00CD18AF"/>
    <w:rsid w:val="00CD28DF"/>
    <w:rsid w:val="00CD5ADC"/>
    <w:rsid w:val="00CE5C56"/>
    <w:rsid w:val="00CE6618"/>
    <w:rsid w:val="00CF0249"/>
    <w:rsid w:val="00CF2146"/>
    <w:rsid w:val="00CF40A4"/>
    <w:rsid w:val="00CF5F97"/>
    <w:rsid w:val="00CF74BF"/>
    <w:rsid w:val="00D02A2F"/>
    <w:rsid w:val="00D03D50"/>
    <w:rsid w:val="00D04840"/>
    <w:rsid w:val="00D11B21"/>
    <w:rsid w:val="00D12C83"/>
    <w:rsid w:val="00D30CF4"/>
    <w:rsid w:val="00D34405"/>
    <w:rsid w:val="00D34DD1"/>
    <w:rsid w:val="00D352DD"/>
    <w:rsid w:val="00D37CED"/>
    <w:rsid w:val="00D40BAC"/>
    <w:rsid w:val="00D43544"/>
    <w:rsid w:val="00D4391E"/>
    <w:rsid w:val="00D50839"/>
    <w:rsid w:val="00D52F84"/>
    <w:rsid w:val="00D54FFE"/>
    <w:rsid w:val="00D63E89"/>
    <w:rsid w:val="00D71100"/>
    <w:rsid w:val="00D718B7"/>
    <w:rsid w:val="00D77289"/>
    <w:rsid w:val="00D80391"/>
    <w:rsid w:val="00D8632E"/>
    <w:rsid w:val="00D90E41"/>
    <w:rsid w:val="00D92C19"/>
    <w:rsid w:val="00D934D0"/>
    <w:rsid w:val="00DA0B7B"/>
    <w:rsid w:val="00DA4772"/>
    <w:rsid w:val="00DB13EA"/>
    <w:rsid w:val="00DB3526"/>
    <w:rsid w:val="00DB38E1"/>
    <w:rsid w:val="00DB5A44"/>
    <w:rsid w:val="00DC043E"/>
    <w:rsid w:val="00DC20C7"/>
    <w:rsid w:val="00DC5E52"/>
    <w:rsid w:val="00DC60BB"/>
    <w:rsid w:val="00DD6C30"/>
    <w:rsid w:val="00DD73D0"/>
    <w:rsid w:val="00DE149B"/>
    <w:rsid w:val="00DF00EF"/>
    <w:rsid w:val="00DF2B2D"/>
    <w:rsid w:val="00E001B6"/>
    <w:rsid w:val="00E01358"/>
    <w:rsid w:val="00E028FB"/>
    <w:rsid w:val="00E0633C"/>
    <w:rsid w:val="00E10B2C"/>
    <w:rsid w:val="00E17968"/>
    <w:rsid w:val="00E204F3"/>
    <w:rsid w:val="00E2319B"/>
    <w:rsid w:val="00E30D1A"/>
    <w:rsid w:val="00E31BBA"/>
    <w:rsid w:val="00E32E85"/>
    <w:rsid w:val="00E40C52"/>
    <w:rsid w:val="00E429C1"/>
    <w:rsid w:val="00E47CC4"/>
    <w:rsid w:val="00E53F6F"/>
    <w:rsid w:val="00E542F0"/>
    <w:rsid w:val="00E62BA2"/>
    <w:rsid w:val="00E65DE4"/>
    <w:rsid w:val="00E677A3"/>
    <w:rsid w:val="00E723B5"/>
    <w:rsid w:val="00E72B23"/>
    <w:rsid w:val="00E80127"/>
    <w:rsid w:val="00E84CD1"/>
    <w:rsid w:val="00E939CD"/>
    <w:rsid w:val="00E93D64"/>
    <w:rsid w:val="00E979ED"/>
    <w:rsid w:val="00EA22C0"/>
    <w:rsid w:val="00EA3F76"/>
    <w:rsid w:val="00EA7FC0"/>
    <w:rsid w:val="00EB03A9"/>
    <w:rsid w:val="00EB05E6"/>
    <w:rsid w:val="00EB54CB"/>
    <w:rsid w:val="00EB698C"/>
    <w:rsid w:val="00EB7018"/>
    <w:rsid w:val="00EC04B7"/>
    <w:rsid w:val="00EC0CDA"/>
    <w:rsid w:val="00EC1E24"/>
    <w:rsid w:val="00EC4833"/>
    <w:rsid w:val="00EC4E2C"/>
    <w:rsid w:val="00ED3203"/>
    <w:rsid w:val="00ED4137"/>
    <w:rsid w:val="00ED450C"/>
    <w:rsid w:val="00ED4A02"/>
    <w:rsid w:val="00ED7933"/>
    <w:rsid w:val="00EE3E26"/>
    <w:rsid w:val="00EE7437"/>
    <w:rsid w:val="00EF1A5F"/>
    <w:rsid w:val="00EF1F2A"/>
    <w:rsid w:val="00EF792D"/>
    <w:rsid w:val="00EF7EBC"/>
    <w:rsid w:val="00F00ECE"/>
    <w:rsid w:val="00F038E2"/>
    <w:rsid w:val="00F051BF"/>
    <w:rsid w:val="00F07B7B"/>
    <w:rsid w:val="00F31606"/>
    <w:rsid w:val="00F31D65"/>
    <w:rsid w:val="00F34BEA"/>
    <w:rsid w:val="00F34D4A"/>
    <w:rsid w:val="00F34DFE"/>
    <w:rsid w:val="00F370FB"/>
    <w:rsid w:val="00F42B25"/>
    <w:rsid w:val="00F43188"/>
    <w:rsid w:val="00F44A1B"/>
    <w:rsid w:val="00F523F1"/>
    <w:rsid w:val="00F668AD"/>
    <w:rsid w:val="00F7595B"/>
    <w:rsid w:val="00F76C45"/>
    <w:rsid w:val="00F92E6A"/>
    <w:rsid w:val="00FA0385"/>
    <w:rsid w:val="00FA7771"/>
    <w:rsid w:val="00FB2679"/>
    <w:rsid w:val="00FB470E"/>
    <w:rsid w:val="00FC3E3B"/>
    <w:rsid w:val="00FD0A34"/>
    <w:rsid w:val="00FD1B0F"/>
    <w:rsid w:val="00FD5F75"/>
    <w:rsid w:val="00FD6999"/>
    <w:rsid w:val="00FE02BC"/>
    <w:rsid w:val="00FE232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138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7F55"/>
    <w:pPr>
      <w:jc w:val="both"/>
    </w:pPr>
    <w:rPr>
      <w:sz w:val="22"/>
    </w:rPr>
  </w:style>
  <w:style w:type="paragraph" w:styleId="Titre3">
    <w:name w:val="heading 3"/>
    <w:basedOn w:val="Normal"/>
    <w:next w:val="Normal"/>
    <w:link w:val="Titre3Car"/>
    <w:uiPriority w:val="9"/>
    <w:unhideWhenUsed/>
    <w:qFormat/>
    <w:rsid w:val="00A87A90"/>
    <w:pPr>
      <w:keepNext/>
      <w:keepLines/>
      <w:spacing w:before="40"/>
      <w:outlineLvl w:val="2"/>
    </w:pPr>
    <w:rPr>
      <w:rFonts w:asciiTheme="majorHAnsi" w:eastAsiaTheme="majorEastAsia" w:hAnsiTheme="majorHAnsi" w:cstheme="majorBidi"/>
      <w:color w:val="0A2F40"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qFormat/>
    <w:rsid w:val="003E5DBB"/>
    <w:pPr>
      <w:ind w:left="720"/>
      <w:contextualSpacing/>
    </w:pPr>
  </w:style>
  <w:style w:type="paragraph" w:styleId="Notedebasdepage">
    <w:name w:val="footnote text"/>
    <w:basedOn w:val="Normal"/>
    <w:link w:val="NotedebasdepageCar"/>
    <w:uiPriority w:val="99"/>
    <w:unhideWhenUsed/>
    <w:rsid w:val="00A10350"/>
    <w:rPr>
      <w:sz w:val="18"/>
    </w:rPr>
  </w:style>
  <w:style w:type="character" w:customStyle="1" w:styleId="NotedebasdepageCar">
    <w:name w:val="Note de bas de page Car"/>
    <w:basedOn w:val="Policepardfaut"/>
    <w:link w:val="Notedebasdepage"/>
    <w:uiPriority w:val="99"/>
    <w:rsid w:val="00A10350"/>
    <w:rPr>
      <w:sz w:val="18"/>
    </w:rPr>
  </w:style>
  <w:style w:type="character" w:styleId="Appelnotedebasdep">
    <w:name w:val="footnote reference"/>
    <w:basedOn w:val="Policepardfaut"/>
    <w:uiPriority w:val="99"/>
    <w:semiHidden/>
    <w:unhideWhenUsed/>
    <w:rsid w:val="0097609E"/>
    <w:rPr>
      <w:vertAlign w:val="superscript"/>
    </w:rPr>
  </w:style>
  <w:style w:type="character" w:styleId="Marquedecommentaire">
    <w:name w:val="annotation reference"/>
    <w:basedOn w:val="Policepardfaut"/>
    <w:uiPriority w:val="99"/>
    <w:semiHidden/>
    <w:unhideWhenUsed/>
    <w:rsid w:val="00715C96"/>
    <w:rPr>
      <w:sz w:val="16"/>
      <w:szCs w:val="16"/>
    </w:rPr>
  </w:style>
  <w:style w:type="paragraph" w:styleId="Commentaire">
    <w:name w:val="annotation text"/>
    <w:basedOn w:val="Normal"/>
    <w:link w:val="CommentaireCar"/>
    <w:uiPriority w:val="99"/>
    <w:unhideWhenUsed/>
    <w:rsid w:val="00715C96"/>
  </w:style>
  <w:style w:type="character" w:customStyle="1" w:styleId="CommentaireCar">
    <w:name w:val="Commentaire Car"/>
    <w:basedOn w:val="Policepardfaut"/>
    <w:link w:val="Commentaire"/>
    <w:uiPriority w:val="99"/>
    <w:rsid w:val="00715C96"/>
  </w:style>
  <w:style w:type="paragraph" w:styleId="Objetducommentaire">
    <w:name w:val="annotation subject"/>
    <w:basedOn w:val="Commentaire"/>
    <w:next w:val="Commentaire"/>
    <w:link w:val="ObjetducommentaireCar"/>
    <w:uiPriority w:val="99"/>
    <w:semiHidden/>
    <w:unhideWhenUsed/>
    <w:rsid w:val="00715C96"/>
    <w:rPr>
      <w:b/>
      <w:bCs/>
    </w:rPr>
  </w:style>
  <w:style w:type="character" w:customStyle="1" w:styleId="ObjetducommentaireCar">
    <w:name w:val="Objet du commentaire Car"/>
    <w:basedOn w:val="CommentaireCar"/>
    <w:link w:val="Objetducommentaire"/>
    <w:uiPriority w:val="99"/>
    <w:semiHidden/>
    <w:rsid w:val="00715C96"/>
    <w:rPr>
      <w:b/>
      <w:bCs/>
    </w:rPr>
  </w:style>
  <w:style w:type="paragraph" w:styleId="En-tte">
    <w:name w:val="header"/>
    <w:basedOn w:val="Normal"/>
    <w:link w:val="En-tteCar"/>
    <w:uiPriority w:val="99"/>
    <w:unhideWhenUsed/>
    <w:rsid w:val="00CF5F97"/>
    <w:pPr>
      <w:tabs>
        <w:tab w:val="center" w:pos="4513"/>
        <w:tab w:val="right" w:pos="9026"/>
      </w:tabs>
    </w:pPr>
  </w:style>
  <w:style w:type="character" w:customStyle="1" w:styleId="En-tteCar">
    <w:name w:val="En-tête Car"/>
    <w:basedOn w:val="Policepardfaut"/>
    <w:link w:val="En-tte"/>
    <w:uiPriority w:val="99"/>
    <w:rsid w:val="00CF5F97"/>
  </w:style>
  <w:style w:type="paragraph" w:styleId="Pieddepage">
    <w:name w:val="footer"/>
    <w:basedOn w:val="Normal"/>
    <w:link w:val="PieddepageCar"/>
    <w:uiPriority w:val="99"/>
    <w:unhideWhenUsed/>
    <w:rsid w:val="00CF5F97"/>
    <w:pPr>
      <w:tabs>
        <w:tab w:val="center" w:pos="4513"/>
        <w:tab w:val="right" w:pos="9026"/>
      </w:tabs>
    </w:pPr>
  </w:style>
  <w:style w:type="character" w:customStyle="1" w:styleId="PieddepageCar">
    <w:name w:val="Pied de page Car"/>
    <w:basedOn w:val="Policepardfaut"/>
    <w:link w:val="Pieddepage"/>
    <w:uiPriority w:val="99"/>
    <w:rsid w:val="00CF5F97"/>
  </w:style>
  <w:style w:type="character" w:styleId="Lienhypertexte">
    <w:name w:val="Hyperlink"/>
    <w:basedOn w:val="Policepardfaut"/>
    <w:uiPriority w:val="99"/>
    <w:unhideWhenUsed/>
    <w:rsid w:val="00CF5F97"/>
    <w:rPr>
      <w:color w:val="467886" w:themeColor="hyperlink"/>
      <w:u w:val="single"/>
    </w:rPr>
  </w:style>
  <w:style w:type="character" w:styleId="Mentionnonrsolue">
    <w:name w:val="Unresolved Mention"/>
    <w:basedOn w:val="Policepardfaut"/>
    <w:uiPriority w:val="99"/>
    <w:semiHidden/>
    <w:unhideWhenUsed/>
    <w:rsid w:val="00CF5F97"/>
    <w:rPr>
      <w:color w:val="605E5C"/>
      <w:shd w:val="clear" w:color="auto" w:fill="E1DFDD"/>
    </w:rPr>
  </w:style>
  <w:style w:type="paragraph" w:styleId="Rvision">
    <w:name w:val="Revision"/>
    <w:hidden/>
    <w:uiPriority w:val="99"/>
    <w:semiHidden/>
    <w:rsid w:val="00A8693A"/>
  </w:style>
  <w:style w:type="character" w:customStyle="1" w:styleId="Titre3Car">
    <w:name w:val="Titre 3 Car"/>
    <w:basedOn w:val="Policepardfaut"/>
    <w:link w:val="Titre3"/>
    <w:uiPriority w:val="9"/>
    <w:rsid w:val="00A87A90"/>
    <w:rPr>
      <w:rFonts w:asciiTheme="majorHAnsi" w:eastAsiaTheme="majorEastAsia" w:hAnsiTheme="majorHAnsi" w:cstheme="majorBidi"/>
      <w:color w:val="0A2F40" w:themeColor="accent1" w:themeShade="7F"/>
      <w:sz w:val="24"/>
      <w:szCs w:val="24"/>
    </w:rPr>
  </w:style>
  <w:style w:type="table" w:styleId="Grilledutableau">
    <w:name w:val="Table Grid"/>
    <w:basedOn w:val="TableauNormal"/>
    <w:uiPriority w:val="39"/>
    <w:rsid w:val="007E62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879556">
      <w:bodyDiv w:val="1"/>
      <w:marLeft w:val="0"/>
      <w:marRight w:val="0"/>
      <w:marTop w:val="0"/>
      <w:marBottom w:val="0"/>
      <w:divBdr>
        <w:top w:val="none" w:sz="0" w:space="0" w:color="auto"/>
        <w:left w:val="none" w:sz="0" w:space="0" w:color="auto"/>
        <w:bottom w:val="none" w:sz="0" w:space="0" w:color="auto"/>
        <w:right w:val="none" w:sz="0" w:space="0" w:color="auto"/>
      </w:divBdr>
      <w:divsChild>
        <w:div w:id="1417896507">
          <w:marLeft w:val="0"/>
          <w:marRight w:val="0"/>
          <w:marTop w:val="0"/>
          <w:marBottom w:val="0"/>
          <w:divBdr>
            <w:top w:val="none" w:sz="0" w:space="0" w:color="auto"/>
            <w:left w:val="none" w:sz="0" w:space="0" w:color="auto"/>
            <w:bottom w:val="none" w:sz="0" w:space="0" w:color="auto"/>
            <w:right w:val="none" w:sz="0" w:space="0" w:color="auto"/>
          </w:divBdr>
          <w:divsChild>
            <w:div w:id="155110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936196">
      <w:bodyDiv w:val="1"/>
      <w:marLeft w:val="0"/>
      <w:marRight w:val="0"/>
      <w:marTop w:val="0"/>
      <w:marBottom w:val="0"/>
      <w:divBdr>
        <w:top w:val="none" w:sz="0" w:space="0" w:color="auto"/>
        <w:left w:val="none" w:sz="0" w:space="0" w:color="auto"/>
        <w:bottom w:val="none" w:sz="0" w:space="0" w:color="auto"/>
        <w:right w:val="none" w:sz="0" w:space="0" w:color="auto"/>
      </w:divBdr>
    </w:div>
    <w:div w:id="576090465">
      <w:bodyDiv w:val="1"/>
      <w:marLeft w:val="0"/>
      <w:marRight w:val="0"/>
      <w:marTop w:val="0"/>
      <w:marBottom w:val="0"/>
      <w:divBdr>
        <w:top w:val="none" w:sz="0" w:space="0" w:color="auto"/>
        <w:left w:val="none" w:sz="0" w:space="0" w:color="auto"/>
        <w:bottom w:val="none" w:sz="0" w:space="0" w:color="auto"/>
        <w:right w:val="none" w:sz="0" w:space="0" w:color="auto"/>
      </w:divBdr>
      <w:divsChild>
        <w:div w:id="282805410">
          <w:marLeft w:val="0"/>
          <w:marRight w:val="0"/>
          <w:marTop w:val="0"/>
          <w:marBottom w:val="0"/>
          <w:divBdr>
            <w:top w:val="none" w:sz="0" w:space="0" w:color="auto"/>
            <w:left w:val="none" w:sz="0" w:space="0" w:color="auto"/>
            <w:bottom w:val="none" w:sz="0" w:space="0" w:color="auto"/>
            <w:right w:val="none" w:sz="0" w:space="0" w:color="auto"/>
          </w:divBdr>
          <w:divsChild>
            <w:div w:id="29333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079533">
      <w:bodyDiv w:val="1"/>
      <w:marLeft w:val="0"/>
      <w:marRight w:val="0"/>
      <w:marTop w:val="0"/>
      <w:marBottom w:val="0"/>
      <w:divBdr>
        <w:top w:val="none" w:sz="0" w:space="0" w:color="auto"/>
        <w:left w:val="none" w:sz="0" w:space="0" w:color="auto"/>
        <w:bottom w:val="none" w:sz="0" w:space="0" w:color="auto"/>
        <w:right w:val="none" w:sz="0" w:space="0" w:color="auto"/>
      </w:divBdr>
    </w:div>
    <w:div w:id="1470322713">
      <w:bodyDiv w:val="1"/>
      <w:marLeft w:val="0"/>
      <w:marRight w:val="0"/>
      <w:marTop w:val="0"/>
      <w:marBottom w:val="0"/>
      <w:divBdr>
        <w:top w:val="none" w:sz="0" w:space="0" w:color="auto"/>
        <w:left w:val="none" w:sz="0" w:space="0" w:color="auto"/>
        <w:bottom w:val="none" w:sz="0" w:space="0" w:color="auto"/>
        <w:right w:val="none" w:sz="0" w:space="0" w:color="auto"/>
      </w:divBdr>
    </w:div>
    <w:div w:id="18838634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os Document" ma:contentTypeID="0x0101009AD48296FC59154C86E57830F1108F5800205CDB3668D96E44868C86FFB81C2782" ma:contentTypeVersion="31" ma:contentTypeDescription="" ma:contentTypeScope="" ma:versionID="b32b45ae64e23e53c9c34b8a9c15b4de">
  <xsd:schema xmlns:xsd="http://www.w3.org/2001/XMLSchema" xmlns:xs="http://www.w3.org/2001/XMLSchema" xmlns:p="http://schemas.microsoft.com/office/2006/metadata/properties" xmlns:ns1="http://schemas.microsoft.com/sharepoint/v3" xmlns:ns2="84f9a6a8-f2d8-4679-afd4-008cbd8c3661" xmlns:ns3="8fd78538-4e6d-410c-b987-cd1c58629c92" targetNamespace="http://schemas.microsoft.com/office/2006/metadata/properties" ma:root="true" ma:fieldsID="5485dec7d9f2cc45c50286374a1844d7" ns1:_="" ns2:_="" ns3:_="">
    <xsd:import namespace="http://schemas.microsoft.com/sharepoint/v3"/>
    <xsd:import namespace="84f9a6a8-f2d8-4679-afd4-008cbd8c3661"/>
    <xsd:import namespace="8fd78538-4e6d-410c-b987-cd1c58629c92"/>
    <xsd:element name="properties">
      <xsd:complexType>
        <xsd:sequence>
          <xsd:element name="documentManagement">
            <xsd:complexType>
              <xsd:all>
                <xsd:element ref="ns2:CaseCreationDate" minOccurs="0"/>
                <xsd:element ref="ns2:CaseNumber" minOccurs="0"/>
                <xsd:element ref="ns2:CaseSubType" minOccurs="0"/>
                <xsd:element ref="ns2:CaseType" minOccurs="0"/>
                <xsd:element ref="ns2:Creator" minOccurs="0"/>
                <xsd:element ref="ns2:DocumentType" minOccurs="0"/>
                <xsd:element ref="ns2:ExpedId" minOccurs="0"/>
                <xsd:element ref="ns2:FileClassificationLevel1" minOccurs="0"/>
                <xsd:element ref="ns2:FileClassificationLevel2" minOccurs="0"/>
                <xsd:element ref="ns2:FileClassificationLevel3" minOccurs="0"/>
                <xsd:element ref="ns2:FileClassificationLevel4" minOccurs="0"/>
                <xsd:element ref="ns2:FileClassificationLevel5" minOccurs="0"/>
                <xsd:element ref="ns2:MeetingDate" minOccurs="0"/>
                <xsd:element ref="ns2:MeetingNumber" minOccurs="0"/>
                <xsd:element ref="ns2:TermofAdministrativeUsefulness" minOccurs="0"/>
                <xsd:element ref="ns2:WDocsPath" minOccurs="0"/>
                <xsd:element ref="ns1:_ExtendedDescription" minOccurs="0"/>
                <xsd:element ref="ns2:FileSecurityLevel_x0020_" minOccurs="0"/>
                <xsd:element ref="ns2:FileStatus_x0020_"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2:Numéro_x0020_parlementaire" minOccurs="0"/>
                <xsd:element ref="ns2:Sort_x0020_final" minOccurs="0"/>
                <xsd:element ref="ns2:Suffixe_x0020_du_x0020_Numéro_x0020_parlementaire" minOccurs="0"/>
                <xsd:element ref="ns2:Document_x0020_parlementai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ExtendedDescription" ma:index="24" nillable="true" ma:displayName="Description" ma:internalName="_Extended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f9a6a8-f2d8-4679-afd4-008cbd8c3661" elementFormDefault="qualified">
    <xsd:import namespace="http://schemas.microsoft.com/office/2006/documentManagement/types"/>
    <xsd:import namespace="http://schemas.microsoft.com/office/infopath/2007/PartnerControls"/>
    <xsd:element name="CaseCreationDate" ma:index="8" nillable="true" ma:displayName="CaseCreationDate" ma:format="DateOnly" ma:internalName="CaseCreationDate">
      <xsd:simpleType>
        <xsd:restriction base="dms:DateTime"/>
      </xsd:simpleType>
    </xsd:element>
    <xsd:element name="CaseNumber" ma:index="9" nillable="true" ma:displayName="CaseNumber" ma:internalName="CaseNumber">
      <xsd:simpleType>
        <xsd:restriction base="dms:Text">
          <xsd:maxLength value="255"/>
        </xsd:restriction>
      </xsd:simpleType>
    </xsd:element>
    <xsd:element name="CaseSubType" ma:index="10" nillable="true" ma:displayName="CaseSubType" ma:default="" ma:internalName="CaseSubType">
      <xsd:simpleType>
        <xsd:restriction base="dms:Text">
          <xsd:maxLength value="255"/>
        </xsd:restriction>
      </xsd:simpleType>
    </xsd:element>
    <xsd:element name="CaseType" ma:index="11" nillable="true" ma:displayName="CaseType" ma:default="" ma:internalName="CaseType">
      <xsd:simpleType>
        <xsd:restriction base="dms:Text">
          <xsd:maxLength value="255"/>
        </xsd:restriction>
      </xsd:simpleType>
    </xsd:element>
    <xsd:element name="Creator" ma:index="12" nillable="true" ma:displayName="Creator" ma:default="" ma:internalName="Creator">
      <xsd:simpleType>
        <xsd:restriction base="dms:Text">
          <xsd:maxLength value="255"/>
        </xsd:restriction>
      </xsd:simpleType>
    </xsd:element>
    <xsd:element name="DocumentType" ma:index="13" nillable="true" ma:displayName="DocumentType" ma:default="" ma:internalName="DocumentType">
      <xsd:simpleType>
        <xsd:restriction base="dms:Text">
          <xsd:maxLength value="255"/>
        </xsd:restriction>
      </xsd:simpleType>
    </xsd:element>
    <xsd:element name="ExpedId" ma:index="14" nillable="true" ma:displayName="ExpedId" ma:internalName="ExpedId">
      <xsd:simpleType>
        <xsd:restriction base="dms:Text">
          <xsd:maxLength value="255"/>
        </xsd:restriction>
      </xsd:simpleType>
    </xsd:element>
    <xsd:element name="FileClassificationLevel1" ma:index="15" nillable="true" ma:displayName="FileClassificationLevel1" ma:default="" ma:internalName="FileClassificationLevel1">
      <xsd:simpleType>
        <xsd:restriction base="dms:Text">
          <xsd:maxLength value="255"/>
        </xsd:restriction>
      </xsd:simpleType>
    </xsd:element>
    <xsd:element name="FileClassificationLevel2" ma:index="16" nillable="true" ma:displayName="FileClassificationLevel2" ma:default="" ma:internalName="FileClassificationLevel2">
      <xsd:simpleType>
        <xsd:restriction base="dms:Text">
          <xsd:maxLength value="255"/>
        </xsd:restriction>
      </xsd:simpleType>
    </xsd:element>
    <xsd:element name="FileClassificationLevel3" ma:index="17" nillable="true" ma:displayName="FileClassificationLevel3" ma:internalName="FileClassificationLevel3">
      <xsd:simpleType>
        <xsd:restriction base="dms:Text">
          <xsd:maxLength value="255"/>
        </xsd:restriction>
      </xsd:simpleType>
    </xsd:element>
    <xsd:element name="FileClassificationLevel4" ma:index="18" nillable="true" ma:displayName="FileClassificationLevel4" ma:default="" ma:internalName="FileClassificationLevel4">
      <xsd:simpleType>
        <xsd:restriction base="dms:Text">
          <xsd:maxLength value="255"/>
        </xsd:restriction>
      </xsd:simpleType>
    </xsd:element>
    <xsd:element name="FileClassificationLevel5" ma:index="19" nillable="true" ma:displayName="FileClassificationLevel5" ma:default="" ma:internalName="FileClassificationLevel5">
      <xsd:simpleType>
        <xsd:restriction base="dms:Text">
          <xsd:maxLength value="255"/>
        </xsd:restriction>
      </xsd:simpleType>
    </xsd:element>
    <xsd:element name="MeetingDate" ma:index="20" nillable="true" ma:displayName="MeetingDate" ma:default="" ma:format="DateOnly" ma:internalName="MeetingDate">
      <xsd:simpleType>
        <xsd:restriction base="dms:DateTime"/>
      </xsd:simpleType>
    </xsd:element>
    <xsd:element name="MeetingNumber" ma:index="21" nillable="true" ma:displayName="MeetingNumber" ma:default="" ma:internalName="MeetingNumber">
      <xsd:simpleType>
        <xsd:restriction base="dms:Text">
          <xsd:maxLength value="255"/>
        </xsd:restriction>
      </xsd:simpleType>
    </xsd:element>
    <xsd:element name="TermofAdministrativeUsefulness" ma:index="22" nillable="true" ma:displayName="TermofAdministrativeUsefulness" ma:internalName="TermofAdministrativeUsefulness">
      <xsd:simpleType>
        <xsd:restriction base="dms:Text">
          <xsd:maxLength value="255"/>
        </xsd:restriction>
      </xsd:simpleType>
    </xsd:element>
    <xsd:element name="WDocsPath" ma:index="23" nillable="true" ma:displayName="WDocsPath" ma:default="" ma:internalName="WDocsPath">
      <xsd:simpleType>
        <xsd:restriction base="dms:Text">
          <xsd:maxLength value="255"/>
        </xsd:restriction>
      </xsd:simpleType>
    </xsd:element>
    <xsd:element name="FileSecurityLevel_x0020_" ma:index="25" nillable="true" ma:displayName="FileSecurityLevel" ma:internalName="FileSecurityLevel_x0020_">
      <xsd:simpleType>
        <xsd:restriction base="dms:Text">
          <xsd:maxLength value="255"/>
        </xsd:restriction>
      </xsd:simpleType>
    </xsd:element>
    <xsd:element name="FileStatus_x0020_" ma:index="26" nillable="true" ma:displayName="FileStatus" ma:internalName="FileStatus_x0020_">
      <xsd:simpleType>
        <xsd:restriction base="dms:Text">
          <xsd:maxLength value="255"/>
        </xsd:restriction>
      </xsd:simpleType>
    </xsd:element>
    <xsd:element name="TaxCatchAll" ma:index="29" nillable="true" ma:displayName="Taxonomy Catch All Column" ma:hidden="true" ma:list="{4ca840dc-ded1-4a89-8bbf-dabf04cef26a}" ma:internalName="TaxCatchAll" ma:showField="CatchAllData" ma:web="84f9a6a8-f2d8-4679-afd4-008cbd8c3661">
      <xsd:complexType>
        <xsd:complexContent>
          <xsd:extension base="dms:MultiChoiceLookup">
            <xsd:sequence>
              <xsd:element name="Value" type="dms:Lookup" maxOccurs="unbounded" minOccurs="0" nillable="true"/>
            </xsd:sequence>
          </xsd:extension>
        </xsd:complexContent>
      </xsd:complexType>
    </xsd:element>
    <xsd:element name="Numéro_x0020_parlementaire" ma:index="34" nillable="true" ma:displayName="Numéro parlementaire" ma:default="" ma:internalName="Num_x00e9_ro_x0020_parlementaire">
      <xsd:simpleType>
        <xsd:restriction base="dms:Text">
          <xsd:maxLength value="255"/>
        </xsd:restriction>
      </xsd:simpleType>
    </xsd:element>
    <xsd:element name="Sort_x0020_final" ma:index="35" nillable="true" ma:displayName="Sort final" ma:default="" ma:internalName="Sort_x0020_final">
      <xsd:simpleType>
        <xsd:restriction base="dms:Text">
          <xsd:maxLength value="255"/>
        </xsd:restriction>
      </xsd:simpleType>
    </xsd:element>
    <xsd:element name="Suffixe_x0020_du_x0020_Numéro_x0020_parlementaire" ma:index="36" nillable="true" ma:displayName="Suffixe du Numéro parlementaire" ma:default="" ma:internalName="Suffixe_x0020_du_x0020_Num_x00e9_ro_x0020_parlementaire">
      <xsd:simpleType>
        <xsd:restriction base="dms:Text">
          <xsd:maxLength value="255"/>
        </xsd:restriction>
      </xsd:simpleType>
    </xsd:element>
    <xsd:element name="Document_x0020_parlementaire" ma:index="37" nillable="true" ma:displayName="Document parlementaire" ma:default="0" ma:internalName="Document_x0020_parlementair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fd78538-4e6d-410c-b987-cd1c58629c92" elementFormDefault="qualified">
    <xsd:import namespace="http://schemas.microsoft.com/office/2006/documentManagement/types"/>
    <xsd:import namespace="http://schemas.microsoft.com/office/infopath/2007/PartnerControls"/>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fd028280-dcad-4e87-999f-b74f1d755bf3" ma:termSetId="09814cd3-568e-fe90-9814-8d621ff8fb84" ma:anchorId="fba54fb3-c3e1-fe81-a776-ca4b69148c4d" ma:open="true" ma:isKeyword="false">
      <xsd:complexType>
        <xsd:sequence>
          <xsd:element ref="pc:Terms" minOccurs="0" maxOccurs="1"/>
        </xsd:sequence>
      </xsd:complexType>
    </xsd:element>
    <xsd:element name="MediaServiceDateTaken" ma:index="30" nillable="true" ma:displayName="MediaServiceDateTaken" ma:hidden="true" ma:indexed="true" ma:internalName="MediaServiceDateTaken"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ocument_x0020_parlementaire xmlns="84f9a6a8-f2d8-4679-afd4-008cbd8c3661">false</Document_x0020_parlementaire>
    <Creator xmlns="84f9a6a8-f2d8-4679-afd4-008cbd8c3661" xsi:nil="true"/>
    <DocumentType xmlns="84f9a6a8-f2d8-4679-afd4-008cbd8c3661">PV</DocumentType>
    <FileClassificationLevel3 xmlns="84f9a6a8-f2d8-4679-afd4-008cbd8c3661">02_Reunion</FileClassificationLevel3>
    <FileClassificationLevel4 xmlns="84f9a6a8-f2d8-4679-afd4-008cbd8c3661" xsi:nil="true"/>
    <MeetingNumber xmlns="84f9a6a8-f2d8-4679-afd4-008cbd8c3661">1014464</MeetingNumber>
    <CaseCreationDate xmlns="84f9a6a8-f2d8-4679-afd4-008cbd8c3661" xsi:nil="true"/>
    <CaseSubType xmlns="84f9a6a8-f2d8-4679-afd4-008cbd8c3661" xsi:nil="true"/>
    <MeetingDate xmlns="84f9a6a8-f2d8-4679-afd4-008cbd8c3661">2026-04-12T22:00:00+00:00</MeetingDate>
    <FileClassificationLevel5 xmlns="84f9a6a8-f2d8-4679-afd4-008cbd8c3661" xsi:nil="true"/>
    <CaseType xmlns="84f9a6a8-f2d8-4679-afd4-008cbd8c3661" xsi:nil="true"/>
    <TermofAdministrativeUsefulness xmlns="84f9a6a8-f2d8-4679-afd4-008cbd8c3661" xsi:nil="true"/>
    <ExpedId xmlns="84f9a6a8-f2d8-4679-afd4-008cbd8c3661" xsi:nil="true"/>
    <CaseNumber xmlns="84f9a6a8-f2d8-4679-afd4-008cbd8c3661" xsi:nil="true"/>
    <_ExtendedDescription xmlns="http://schemas.microsoft.com/sharepoint/v3" xsi:nil="true"/>
    <Numéro_x0020_parlementaire xmlns="84f9a6a8-f2d8-4679-afd4-008cbd8c3661" xsi:nil="true"/>
    <FileClassificationLevel1 xmlns="84f9a6a8-f2d8-4679-afd4-008cbd8c3661">20_Travaux_Commission</FileClassificationLevel1>
    <FileStatus_x0020_ xmlns="84f9a6a8-f2d8-4679-afd4-008cbd8c3661" xsi:nil="true"/>
    <Sort_x0020_final xmlns="84f9a6a8-f2d8-4679-afd4-008cbd8c3661" xsi:nil="true"/>
    <WDocsPath xmlns="84f9a6a8-f2d8-4679-afd4-008cbd8c3661">/sftpecos/Reunions/2023_EXBU23/a0OMz00000CGWLDMA5/</WDocsPath>
    <FileSecurityLevel_x0020_ xmlns="84f9a6a8-f2d8-4679-afd4-008cbd8c3661">CHD_Level1_Public</FileSecurityLevel_x0020_>
    <Suffixe_x0020_du_x0020_Numéro_x0020_parlementaire xmlns="84f9a6a8-f2d8-4679-afd4-008cbd8c3661" xsi:nil="true"/>
    <FileClassificationLevel2 xmlns="84f9a6a8-f2d8-4679-afd4-008cbd8c3661">2023_EXBU23</FileClassificationLevel2>
    <lcf76f155ced4ddcb4097134ff3c332f xmlns="8fd78538-4e6d-410c-b987-cd1c58629c92">
      <Terms xmlns="http://schemas.microsoft.com/office/infopath/2007/PartnerControls"/>
    </lcf76f155ced4ddcb4097134ff3c332f>
    <TaxCatchAll xmlns="84f9a6a8-f2d8-4679-afd4-008cbd8c3661" xsi:nil="true"/>
  </documentManagement>
</p:properties>
</file>

<file path=customXml/itemProps1.xml><?xml version="1.0" encoding="utf-8"?>
<ds:datastoreItem xmlns:ds="http://schemas.openxmlformats.org/officeDocument/2006/customXml" ds:itemID="{54C3568C-9101-4E7F-8AE7-DCF5EA66F9C2}"/>
</file>

<file path=customXml/itemProps2.xml><?xml version="1.0" encoding="utf-8"?>
<ds:datastoreItem xmlns:ds="http://schemas.openxmlformats.org/officeDocument/2006/customXml" ds:itemID="{80BFC02D-BE19-4AB3-802A-6E4286E323C5}">
  <ds:schemaRefs>
    <ds:schemaRef ds:uri="http://schemas.openxmlformats.org/officeDocument/2006/bibliography"/>
  </ds:schemaRefs>
</ds:datastoreItem>
</file>

<file path=customXml/itemProps3.xml><?xml version="1.0" encoding="utf-8"?>
<ds:datastoreItem xmlns:ds="http://schemas.openxmlformats.org/officeDocument/2006/customXml" ds:itemID="{3F246857-F267-43A2-8ABA-A4E16B9B699F}">
  <ds:schemaRefs>
    <ds:schemaRef ds:uri="http://schemas.microsoft.com/sharepoint/v3/contenttype/forms"/>
  </ds:schemaRefs>
</ds:datastoreItem>
</file>

<file path=customXml/itemProps4.xml><?xml version="1.0" encoding="utf-8"?>
<ds:datastoreItem xmlns:ds="http://schemas.openxmlformats.org/officeDocument/2006/customXml" ds:itemID="{28547A65-E5EA-4071-BC29-7F05F1C70975}">
  <ds:schemaRefs>
    <ds:schemaRef ds:uri="http://schemas.microsoft.com/office/2006/metadata/properties"/>
    <ds:schemaRef ds:uri="http://schemas.microsoft.com/office/infopath/2007/PartnerControls"/>
    <ds:schemaRef ds:uri="84f9a6a8-f2d8-4679-afd4-008cbd8c3661"/>
    <ds:schemaRef ds:uri="http://schemas.microsoft.com/sharepoint/v3"/>
  </ds:schemaRefs>
</ds:datastoreItem>
</file>

<file path=docMetadata/LabelInfo.xml><?xml version="1.0" encoding="utf-8"?>
<clbl:labelList xmlns:clbl="http://schemas.microsoft.com/office/2020/mipLabelMetadata">
  <clbl:label id="{ea60d57e-af5b-4752-ac57-3e4f28ca11dc}" enabled="1" method="Standard" siteId="{36da45f1-dd2c-4d1f-af13-5abe46b99921}"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12</Pages>
  <Words>4986</Words>
  <Characters>27428</Characters>
  <Application>Microsoft Office Word</Application>
  <DocSecurity>0</DocSecurity>
  <Lines>228</Lines>
  <Paragraphs>64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20260413_PPV</vt:lpstr>
      <vt:lpstr/>
    </vt:vector>
  </TitlesOfParts>
  <Company/>
  <LinksUpToDate>false</LinksUpToDate>
  <CharactersWithSpaces>32350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20260601_PV</dc:title>
  <dc:creator/>
  <cp:lastModifiedBy/>
  <cp:revision>1</cp:revision>
  <dcterms:created xsi:type="dcterms:W3CDTF">2026-05-19T07:10:00Z</dcterms:created>
  <dcterms:modified xsi:type="dcterms:W3CDTF">2026-06-01T14:36:00Z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0x0101009AD48296FC59154C86E57830F1108F5800205CDB3668D96E44868C86FFB81C2782</vt:lpwstr>
  </property>
  <property fmtid="{D5CDD505-2E9C-101B-9397-08002B2CF9AE}" pid="4" name="FileSecurityLevel">
    <vt:lpwstr>CHD_Level3_ParliamentaryAdministration</vt:lpwstr>
  </property>
</Properties>
</file>