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EC1A" w14:textId="7C3DAC95" w:rsidR="00D31054" w:rsidRPr="00245569" w:rsidRDefault="00D31054" w:rsidP="00D31054">
      <w:pPr>
        <w:spacing w:before="240" w:after="240" w:line="276" w:lineRule="auto"/>
        <w:jc w:val="center"/>
        <w:rPr>
          <w:rFonts w:eastAsia="Calibri" w:cs="Arial"/>
          <w:kern w:val="0"/>
          <w:sz w:val="22"/>
          <w:szCs w:val="22"/>
          <w:lang w:val="fr-LU"/>
          <w14:ligatures w14:val="none"/>
        </w:rPr>
      </w:pPr>
      <w:r w:rsidRPr="00245569">
        <w:rPr>
          <w:rFonts w:eastAsia="Calibri" w:cs="Arial"/>
          <w:b/>
          <w:kern w:val="0"/>
          <w:sz w:val="22"/>
          <w:szCs w:val="22"/>
          <w:lang w:val="fr-LU"/>
          <w14:ligatures w14:val="none"/>
        </w:rPr>
        <w:t>N°</w:t>
      </w:r>
      <w:r w:rsidR="00364A4F">
        <w:rPr>
          <w:rFonts w:eastAsia="Calibri" w:cs="Arial"/>
          <w:b/>
          <w:kern w:val="0"/>
          <w:sz w:val="22"/>
          <w:szCs w:val="22"/>
          <w:lang w:val="fr-LU"/>
          <w14:ligatures w14:val="none"/>
        </w:rPr>
        <w:t>8695</w:t>
      </w:r>
    </w:p>
    <w:p w14:paraId="1422852E" w14:textId="77777777" w:rsidR="00D31054" w:rsidRPr="00245569" w:rsidRDefault="00D31054" w:rsidP="00BD2631">
      <w:pPr>
        <w:spacing w:before="240" w:line="276" w:lineRule="auto"/>
        <w:jc w:val="center"/>
        <w:rPr>
          <w:rFonts w:eastAsia="Calibri" w:cs="Arial"/>
          <w:kern w:val="0"/>
          <w:sz w:val="22"/>
          <w:szCs w:val="22"/>
          <w:lang w:val="fr-LU"/>
          <w14:ligatures w14:val="none"/>
        </w:rPr>
      </w:pPr>
      <w:r w:rsidRPr="00245569">
        <w:rPr>
          <w:rFonts w:eastAsia="Calibri" w:cs="Arial"/>
          <w:kern w:val="0"/>
          <w:sz w:val="22"/>
          <w:szCs w:val="22"/>
          <w:lang w:val="fr-LU"/>
          <w14:ligatures w14:val="none"/>
        </w:rPr>
        <w:t>CHAMBRE DES D</w:t>
      </w:r>
      <w:r w:rsidR="00BD2631">
        <w:rPr>
          <w:rFonts w:eastAsia="Calibri" w:cs="Arial"/>
          <w:kern w:val="0"/>
          <w:sz w:val="22"/>
          <w:szCs w:val="22"/>
          <w:lang w:val="fr-LU"/>
          <w14:ligatures w14:val="none"/>
        </w:rPr>
        <w:t>E</w:t>
      </w:r>
      <w:r w:rsidRPr="00245569">
        <w:rPr>
          <w:rFonts w:eastAsia="Calibri" w:cs="Arial"/>
          <w:kern w:val="0"/>
          <w:sz w:val="22"/>
          <w:szCs w:val="22"/>
          <w:lang w:val="fr-LU"/>
          <w14:ligatures w14:val="none"/>
        </w:rPr>
        <w:t>PUT</w:t>
      </w:r>
      <w:r w:rsidR="00BD2631">
        <w:rPr>
          <w:rFonts w:eastAsia="Calibri" w:cs="Arial"/>
          <w:bCs/>
          <w:kern w:val="0"/>
          <w:sz w:val="22"/>
          <w:szCs w:val="22"/>
          <w:lang w:val="fr-LU"/>
          <w14:ligatures w14:val="none"/>
        </w:rPr>
        <w:t>E</w:t>
      </w:r>
      <w:r w:rsidRPr="00245569">
        <w:rPr>
          <w:rFonts w:eastAsia="Calibri" w:cs="Arial"/>
          <w:kern w:val="0"/>
          <w:sz w:val="22"/>
          <w:szCs w:val="22"/>
          <w:lang w:val="fr-LU"/>
          <w14:ligatures w14:val="none"/>
        </w:rPr>
        <w:t>S</w:t>
      </w:r>
    </w:p>
    <w:p w14:paraId="0B5BE020" w14:textId="77777777" w:rsidR="002C4094" w:rsidRPr="00106CC8" w:rsidRDefault="002C4094" w:rsidP="00106CC8">
      <w:pPr>
        <w:pBdr>
          <w:bottom w:val="thinThickSmallGap" w:sz="18" w:space="1" w:color="auto"/>
        </w:pBdr>
        <w:spacing w:after="240" w:line="276" w:lineRule="auto"/>
        <w:rPr>
          <w:rFonts w:eastAsia="Calibri" w:cs="Arial"/>
          <w:kern w:val="0"/>
          <w:sz w:val="22"/>
          <w:szCs w:val="22"/>
          <w:lang w:val="fr-LU"/>
          <w14:ligatures w14:val="none"/>
        </w:rPr>
      </w:pPr>
    </w:p>
    <w:p w14:paraId="7815BA26" w14:textId="77777777" w:rsidR="00C72687" w:rsidRPr="00D70A03" w:rsidRDefault="00C72687" w:rsidP="00C72687">
      <w:pPr>
        <w:autoSpaceDE w:val="0"/>
        <w:autoSpaceDN w:val="0"/>
        <w:adjustRightInd w:val="0"/>
        <w:spacing w:before="440" w:after="140" w:line="361" w:lineRule="atLeast"/>
        <w:ind w:left="850" w:right="850"/>
        <w:jc w:val="center"/>
        <w:rPr>
          <w:rFonts w:eastAsia="Calibri" w:cs="Arial"/>
          <w:color w:val="000000"/>
          <w:kern w:val="0"/>
          <w:sz w:val="36"/>
          <w:szCs w:val="36"/>
          <w:lang w:val="fr-LU"/>
          <w14:ligatures w14:val="none"/>
        </w:rPr>
      </w:pPr>
      <w:r w:rsidRPr="00D70A03">
        <w:rPr>
          <w:rFonts w:eastAsia="Calibri" w:cs="Arial"/>
          <w:b/>
          <w:bCs/>
          <w:color w:val="000000"/>
          <w:kern w:val="0"/>
          <w:sz w:val="36"/>
          <w:szCs w:val="36"/>
          <w:lang w:val="fr-LU"/>
          <w14:ligatures w14:val="none"/>
        </w:rPr>
        <w:t>PROJET DE LOI</w:t>
      </w:r>
    </w:p>
    <w:p w14:paraId="74934ECB" w14:textId="77777777" w:rsidR="00C72687" w:rsidRPr="004473AE" w:rsidRDefault="00C72687" w:rsidP="00C72687">
      <w:pPr>
        <w:ind w:right="113"/>
        <w:jc w:val="center"/>
        <w:rPr>
          <w:rFonts w:eastAsia="Times New Roman"/>
          <w:b/>
          <w:bCs/>
          <w:kern w:val="0"/>
          <w:lang w:eastAsia="fr-FR"/>
          <w14:ligatures w14:val="none"/>
        </w:rPr>
      </w:pPr>
      <w:proofErr w:type="gramStart"/>
      <w:r w:rsidRPr="004473AE">
        <w:rPr>
          <w:rFonts w:eastAsia="Times New Roman"/>
          <w:b/>
          <w:bCs/>
          <w:kern w:val="0"/>
          <w:lang w:eastAsia="fr-FR"/>
          <w14:ligatures w14:val="none"/>
        </w:rPr>
        <w:t>portant</w:t>
      </w:r>
      <w:proofErr w:type="gramEnd"/>
      <w:r w:rsidRPr="004473AE">
        <w:rPr>
          <w:rFonts w:eastAsia="Times New Roman"/>
          <w:b/>
          <w:bCs/>
          <w:kern w:val="0"/>
          <w:lang w:eastAsia="fr-FR"/>
          <w14:ligatures w14:val="none"/>
        </w:rPr>
        <w:t xml:space="preserve"> modification de la loi modifiée du 12 novembre 2004 relative à la lutte contre </w:t>
      </w:r>
    </w:p>
    <w:p w14:paraId="0D50220D" w14:textId="77777777" w:rsidR="00B36E09" w:rsidRDefault="00C72687" w:rsidP="00C72687">
      <w:pPr>
        <w:spacing w:before="240" w:after="240" w:line="276" w:lineRule="auto"/>
        <w:jc w:val="center"/>
        <w:rPr>
          <w:rFonts w:eastAsia="Times New Roman"/>
          <w:b/>
          <w:bCs/>
          <w:kern w:val="0"/>
          <w:lang w:eastAsia="fr-FR"/>
          <w14:ligatures w14:val="none"/>
        </w:rPr>
      </w:pPr>
      <w:proofErr w:type="gramStart"/>
      <w:r w:rsidRPr="004473AE">
        <w:rPr>
          <w:rFonts w:eastAsia="Times New Roman"/>
          <w:b/>
          <w:bCs/>
          <w:kern w:val="0"/>
          <w:lang w:eastAsia="fr-FR"/>
          <w14:ligatures w14:val="none"/>
        </w:rPr>
        <w:t>le</w:t>
      </w:r>
      <w:proofErr w:type="gramEnd"/>
      <w:r w:rsidRPr="004473AE">
        <w:rPr>
          <w:rFonts w:eastAsia="Times New Roman"/>
          <w:b/>
          <w:bCs/>
          <w:kern w:val="0"/>
          <w:lang w:eastAsia="fr-FR"/>
          <w14:ligatures w14:val="none"/>
        </w:rPr>
        <w:t xml:space="preserve"> blanchiment et contre le financement du terrorisme</w:t>
      </w:r>
    </w:p>
    <w:p w14:paraId="40A46101" w14:textId="36C060D8" w:rsidR="00D31054" w:rsidRDefault="00C72687" w:rsidP="00C72687">
      <w:pPr>
        <w:spacing w:before="240" w:after="240" w:line="276" w:lineRule="auto"/>
        <w:jc w:val="center"/>
        <w:rPr>
          <w:rFonts w:eastAsia="Calibri" w:cs="Arial"/>
          <w:bCs/>
          <w:kern w:val="0"/>
          <w:sz w:val="22"/>
          <w:szCs w:val="22"/>
          <w:lang w:val="fr-LU"/>
          <w14:ligatures w14:val="none"/>
        </w:rPr>
      </w:pPr>
      <w:r w:rsidRPr="00245569">
        <w:rPr>
          <w:rFonts w:eastAsia="Calibri" w:cs="Arial"/>
          <w:bCs/>
          <w:kern w:val="0"/>
          <w:sz w:val="22"/>
          <w:szCs w:val="22"/>
          <w:lang w:val="fr-LU"/>
          <w14:ligatures w14:val="none"/>
        </w:rPr>
        <w:t xml:space="preserve"> </w:t>
      </w:r>
      <w:r w:rsidR="00D31054" w:rsidRPr="00245569">
        <w:rPr>
          <w:rFonts w:eastAsia="Calibri" w:cs="Arial"/>
          <w:bCs/>
          <w:kern w:val="0"/>
          <w:sz w:val="22"/>
          <w:szCs w:val="22"/>
          <w:lang w:val="fr-LU"/>
          <w14:ligatures w14:val="none"/>
        </w:rPr>
        <w:t>*</w:t>
      </w:r>
      <w:r w:rsidR="00D31054" w:rsidRPr="00245569">
        <w:rPr>
          <w:rFonts w:eastAsia="Calibri" w:cs="Arial"/>
          <w:bCs/>
          <w:kern w:val="0"/>
          <w:sz w:val="22"/>
          <w:szCs w:val="22"/>
          <w:lang w:val="fr-LU"/>
          <w14:ligatures w14:val="none"/>
        </w:rPr>
        <w:tab/>
        <w:t>*</w:t>
      </w:r>
      <w:r w:rsidR="00D31054" w:rsidRPr="00245569">
        <w:rPr>
          <w:rFonts w:eastAsia="Calibri" w:cs="Arial"/>
          <w:bCs/>
          <w:kern w:val="0"/>
          <w:sz w:val="22"/>
          <w:szCs w:val="22"/>
          <w:lang w:val="fr-LU"/>
          <w14:ligatures w14:val="none"/>
        </w:rPr>
        <w:tab/>
        <w:t>*</w:t>
      </w:r>
    </w:p>
    <w:p w14:paraId="7D2A333C" w14:textId="77777777" w:rsidR="002C4094" w:rsidRDefault="002C4094" w:rsidP="00D31054">
      <w:pPr>
        <w:spacing w:before="240" w:after="240" w:line="276" w:lineRule="auto"/>
        <w:jc w:val="center"/>
        <w:rPr>
          <w:rFonts w:eastAsia="Calibri" w:cs="Arial"/>
          <w:b/>
          <w:kern w:val="0"/>
          <w:sz w:val="22"/>
          <w:szCs w:val="22"/>
          <w:lang w:val="fr-LU"/>
          <w14:ligatures w14:val="none"/>
        </w:rPr>
      </w:pPr>
      <w:r w:rsidRPr="002C4094">
        <w:rPr>
          <w:rFonts w:eastAsia="Calibri" w:cs="Arial"/>
          <w:b/>
          <w:kern w:val="0"/>
          <w:sz w:val="22"/>
          <w:szCs w:val="22"/>
          <w:lang w:val="fr-LU"/>
          <w14:ligatures w14:val="none"/>
        </w:rPr>
        <w:t>RESUME</w:t>
      </w:r>
    </w:p>
    <w:p w14:paraId="53417BEB" w14:textId="77777777" w:rsidR="00364A4F" w:rsidRPr="00364A4F" w:rsidRDefault="00364A4F" w:rsidP="00364A4F">
      <w:pPr>
        <w:spacing w:before="240" w:after="240" w:line="276" w:lineRule="auto"/>
        <w:jc w:val="both"/>
        <w:rPr>
          <w:rFonts w:eastAsia="Calibri" w:cs="Arial"/>
          <w:bCs/>
          <w:kern w:val="0"/>
          <w:sz w:val="22"/>
          <w:szCs w:val="22"/>
          <w:lang w:val="fr-LU"/>
          <w14:ligatures w14:val="none"/>
        </w:rPr>
      </w:pPr>
      <w:r w:rsidRPr="00364A4F">
        <w:rPr>
          <w:rFonts w:eastAsia="Calibri" w:cs="Arial"/>
          <w:bCs/>
          <w:kern w:val="0"/>
          <w:sz w:val="22"/>
          <w:szCs w:val="22"/>
          <w:lang w:val="fr-LU"/>
          <w14:ligatures w14:val="none"/>
        </w:rPr>
        <w:t>Le présent projet de loi a pour objet de modifier la loi modifiée du 12 novembre 2004 relative à la lutte contre le blanchiment et contre le financement du terrorisme.</w:t>
      </w:r>
    </w:p>
    <w:p w14:paraId="123BD438" w14:textId="77777777" w:rsidR="00364A4F" w:rsidRPr="00364A4F" w:rsidRDefault="00364A4F" w:rsidP="00364A4F">
      <w:pPr>
        <w:spacing w:before="240" w:after="240" w:line="276" w:lineRule="auto"/>
        <w:jc w:val="both"/>
        <w:rPr>
          <w:rFonts w:eastAsia="Calibri" w:cs="Arial"/>
          <w:bCs/>
          <w:kern w:val="0"/>
          <w:sz w:val="22"/>
          <w:szCs w:val="22"/>
          <w:lang w:val="fr-LU"/>
          <w14:ligatures w14:val="none"/>
        </w:rPr>
      </w:pPr>
      <w:r w:rsidRPr="00364A4F">
        <w:rPr>
          <w:rFonts w:eastAsia="Calibri" w:cs="Arial"/>
          <w:bCs/>
          <w:kern w:val="0"/>
          <w:sz w:val="22"/>
          <w:szCs w:val="22"/>
          <w:lang w:val="fr-LU"/>
          <w14:ligatures w14:val="none"/>
        </w:rPr>
        <w:t>Il vise, d’une part, à adapter les dispositions relatives au Comité de prévention du blanchiment et du financement du terrorisme et, d’autre part, à introduire de nouvelles dispositions concernant l’évaluation des risques ainsi que la collecte de statistiques en matière de lutte contre le blanchiment et contre le financement du terrorisme.</w:t>
      </w:r>
    </w:p>
    <w:p w14:paraId="1C4926C3" w14:textId="77777777" w:rsidR="00364A4F" w:rsidRPr="00364A4F" w:rsidRDefault="00364A4F" w:rsidP="00364A4F">
      <w:pPr>
        <w:spacing w:before="240" w:after="240" w:line="276" w:lineRule="auto"/>
        <w:jc w:val="both"/>
        <w:rPr>
          <w:rFonts w:eastAsia="Calibri" w:cs="Arial"/>
          <w:bCs/>
          <w:kern w:val="0"/>
          <w:sz w:val="22"/>
          <w:szCs w:val="22"/>
          <w:lang w:val="fr-LU"/>
          <w14:ligatures w14:val="none"/>
        </w:rPr>
      </w:pPr>
      <w:r w:rsidRPr="00364A4F">
        <w:rPr>
          <w:rFonts w:eastAsia="Calibri" w:cs="Arial"/>
          <w:bCs/>
          <w:kern w:val="0"/>
          <w:sz w:val="22"/>
          <w:szCs w:val="22"/>
          <w:lang w:val="fr-LU"/>
          <w14:ligatures w14:val="none"/>
        </w:rPr>
        <w:t>Le projet de loi poursuit un double objectif. Il entend d’abord renforcer le dispositif national de gouvernance en matière de lutte contre le blanchiment de capitaux et contre le financement du terrorisme, en consolidant le rôle du Comité de prévention et en précisant l’organisation de ses travaux. Il vise ensuite à assurer la transposition des articles 8 et 9 de la directive (UE) 2024/1640, qui impose aux États membres de mettre en place des mécanismes destinés à prévenir l’utilisation du système financier aux fins du blanchiment de capitaux ou du financement du terrorisme.</w:t>
      </w:r>
    </w:p>
    <w:p w14:paraId="3D60C614" w14:textId="77777777" w:rsidR="00364A4F" w:rsidRPr="00364A4F" w:rsidRDefault="00364A4F" w:rsidP="00364A4F">
      <w:pPr>
        <w:spacing w:before="240" w:after="240" w:line="276" w:lineRule="auto"/>
        <w:jc w:val="both"/>
        <w:rPr>
          <w:rFonts w:eastAsia="Calibri" w:cs="Arial"/>
          <w:bCs/>
          <w:kern w:val="0"/>
          <w:sz w:val="22"/>
          <w:szCs w:val="22"/>
          <w:lang w:val="fr-LU"/>
          <w14:ligatures w14:val="none"/>
        </w:rPr>
      </w:pPr>
      <w:r w:rsidRPr="00364A4F">
        <w:rPr>
          <w:rFonts w:eastAsia="Calibri" w:cs="Arial"/>
          <w:bCs/>
          <w:kern w:val="0"/>
          <w:sz w:val="22"/>
          <w:szCs w:val="22"/>
          <w:lang w:val="fr-LU"/>
          <w14:ligatures w14:val="none"/>
        </w:rPr>
        <w:t>L’article 9-1quater de la loi précitée avait été introduit afin de conférer une base légale au Comité de prévention. Celui-ci avait initialement été créé par règlement ministériel, instrument qui ne constituait pas une base juridique appropriée. Un règlement grand-ducal du 11 juin 2025 est ensuite venu préciser la composition et le fonctionnement dudit Comité.</w:t>
      </w:r>
    </w:p>
    <w:p w14:paraId="449BD2CB" w14:textId="77777777" w:rsidR="00364A4F" w:rsidRPr="00364A4F" w:rsidRDefault="00364A4F" w:rsidP="00364A4F">
      <w:pPr>
        <w:spacing w:before="240" w:after="240" w:line="276" w:lineRule="auto"/>
        <w:jc w:val="both"/>
        <w:rPr>
          <w:rFonts w:eastAsia="Calibri" w:cs="Arial"/>
          <w:bCs/>
          <w:kern w:val="0"/>
          <w:sz w:val="22"/>
          <w:szCs w:val="22"/>
          <w:lang w:val="fr-LU"/>
          <w14:ligatures w14:val="none"/>
        </w:rPr>
      </w:pPr>
      <w:r w:rsidRPr="00364A4F">
        <w:rPr>
          <w:rFonts w:eastAsia="Calibri" w:cs="Arial"/>
          <w:bCs/>
          <w:kern w:val="0"/>
          <w:sz w:val="22"/>
          <w:szCs w:val="22"/>
          <w:lang w:val="fr-LU"/>
          <w14:ligatures w14:val="none"/>
        </w:rPr>
        <w:t>Dans son avis du 4 avril 2025 relatif au projet de règlement grand-ducal précité, le Conseil d’État a toutefois relevé que certaines dispositions envisagées relevaient du domaine de la loi et non du règlement. Le texte réglementaire publié a dès lors été adapté en conséquence. Il convient désormais de compléter la loi afin d’y intégrer les éléments qui doivent relever du niveau législatif.</w:t>
      </w:r>
    </w:p>
    <w:p w14:paraId="28F2944F" w14:textId="77777777" w:rsidR="00364A4F" w:rsidRPr="00364A4F" w:rsidRDefault="00364A4F" w:rsidP="00364A4F">
      <w:pPr>
        <w:spacing w:before="240" w:after="240" w:line="276" w:lineRule="auto"/>
        <w:jc w:val="both"/>
        <w:rPr>
          <w:rFonts w:eastAsia="Calibri" w:cs="Arial"/>
          <w:bCs/>
          <w:kern w:val="0"/>
          <w:sz w:val="22"/>
          <w:szCs w:val="22"/>
          <w:lang w:val="fr-LU"/>
          <w14:ligatures w14:val="none"/>
        </w:rPr>
      </w:pPr>
      <w:r w:rsidRPr="00364A4F">
        <w:rPr>
          <w:rFonts w:eastAsia="Calibri" w:cs="Arial"/>
          <w:bCs/>
          <w:kern w:val="0"/>
          <w:sz w:val="22"/>
          <w:szCs w:val="22"/>
          <w:lang w:val="fr-LU"/>
          <w14:ligatures w14:val="none"/>
        </w:rPr>
        <w:t>Le présent projet de loi propose ainsi de préciser les missions du Comité de prévention, de consacrer la fonction de coordination nationale dans le dispositif légal et de prévoir l’assistance du Comité par un secrétariat exécutif. Ces adaptations permettent de renforcer la sécurité juridique et d’assurer une meilleure cohérence entre la loi et le règlement grand-ducal d’exécution.</w:t>
      </w:r>
    </w:p>
    <w:p w14:paraId="7D305703" w14:textId="77777777" w:rsidR="00364A4F" w:rsidRPr="00364A4F" w:rsidRDefault="00364A4F" w:rsidP="00364A4F">
      <w:pPr>
        <w:spacing w:before="240" w:after="240" w:line="276" w:lineRule="auto"/>
        <w:jc w:val="both"/>
        <w:rPr>
          <w:rFonts w:eastAsia="Calibri" w:cs="Arial"/>
          <w:bCs/>
          <w:kern w:val="0"/>
          <w:sz w:val="22"/>
          <w:szCs w:val="22"/>
          <w:lang w:val="fr-LU"/>
          <w14:ligatures w14:val="none"/>
        </w:rPr>
      </w:pPr>
      <w:r w:rsidRPr="00364A4F">
        <w:rPr>
          <w:rFonts w:eastAsia="Calibri" w:cs="Arial"/>
          <w:bCs/>
          <w:kern w:val="0"/>
          <w:sz w:val="22"/>
          <w:szCs w:val="22"/>
          <w:lang w:val="fr-LU"/>
          <w14:ligatures w14:val="none"/>
        </w:rPr>
        <w:lastRenderedPageBreak/>
        <w:t>Par ailleurs, le projet de loi transpose les obligations prévues aux articles 8 et 9 de la directive (UE) 2024/1640. Ces dispositions imposent notamment aux États membres de tenir à jour leur évaluation nationale des risques de blanchiment et de financement du terrorisme, de la réviser au moins tous les quatre ans, de pouvoir procéder à des évaluations sectorielles lorsque la situation de risque l’exige, ainsi que de collecter et transmettre des statistiques permettant d’apprécier l’efficacité du cadre national de lutte contre le blanchiment et contre le financement du terrorisme.</w:t>
      </w:r>
    </w:p>
    <w:p w14:paraId="428716C2" w14:textId="77777777" w:rsidR="00364A4F" w:rsidRPr="00364A4F" w:rsidRDefault="00364A4F" w:rsidP="00364A4F">
      <w:pPr>
        <w:spacing w:before="240" w:after="240" w:line="276" w:lineRule="auto"/>
        <w:jc w:val="both"/>
        <w:rPr>
          <w:rFonts w:eastAsia="Calibri" w:cs="Arial"/>
          <w:bCs/>
          <w:kern w:val="0"/>
          <w:sz w:val="22"/>
          <w:szCs w:val="22"/>
          <w:lang w:val="fr-LU"/>
          <w14:ligatures w14:val="none"/>
        </w:rPr>
      </w:pPr>
      <w:r w:rsidRPr="00364A4F">
        <w:rPr>
          <w:rFonts w:eastAsia="Calibri" w:cs="Arial"/>
          <w:bCs/>
          <w:kern w:val="0"/>
          <w:sz w:val="22"/>
          <w:szCs w:val="22"/>
          <w:lang w:val="fr-LU"/>
          <w14:ligatures w14:val="none"/>
        </w:rPr>
        <w:t>À cette fin, le projet de loi introduit un nouvel article 9-1quinquies relatif aux évaluations supranationale, nationale et sectorielles des risques, ainsi qu’un nouvel article 9-1sexies relatif aux statistiques. Le secrétariat exécutif sera chargé de la collecte et de la consolidation des données statistiques pertinentes.</w:t>
      </w:r>
    </w:p>
    <w:p w14:paraId="730A4284" w14:textId="5380F64E" w:rsidR="002C4094" w:rsidRPr="002C4094" w:rsidRDefault="00364A4F" w:rsidP="00364A4F">
      <w:pPr>
        <w:spacing w:before="240" w:after="240" w:line="276" w:lineRule="auto"/>
        <w:jc w:val="both"/>
        <w:rPr>
          <w:rFonts w:eastAsia="Calibri" w:cs="Arial"/>
          <w:bCs/>
          <w:kern w:val="0"/>
          <w:sz w:val="22"/>
          <w:szCs w:val="22"/>
          <w:lang w:val="fr-LU"/>
          <w14:ligatures w14:val="none"/>
        </w:rPr>
      </w:pPr>
      <w:r w:rsidRPr="00364A4F">
        <w:rPr>
          <w:rFonts w:eastAsia="Calibri" w:cs="Arial"/>
          <w:bCs/>
          <w:kern w:val="0"/>
          <w:sz w:val="22"/>
          <w:szCs w:val="22"/>
          <w:lang w:val="fr-LU"/>
          <w14:ligatures w14:val="none"/>
        </w:rPr>
        <w:t>L’ensemble de ces modifications vise à renforcer la cohérence, la solidité et l’efficacité du dispositif luxembourgeois de lutte contre le blanchiment et contre le financement du terrorisme, tout en assurant sa conformité avec les exigences européennes dans les délais impartis.</w:t>
      </w:r>
    </w:p>
    <w:sectPr w:rsidR="002C4094" w:rsidRPr="002C409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005A" w14:textId="77777777" w:rsidR="0078458F" w:rsidRDefault="0078458F" w:rsidP="002C4094">
      <w:r>
        <w:separator/>
      </w:r>
    </w:p>
  </w:endnote>
  <w:endnote w:type="continuationSeparator" w:id="0">
    <w:p w14:paraId="40D47B95" w14:textId="77777777" w:rsidR="0078458F" w:rsidRDefault="0078458F" w:rsidP="002C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262394"/>
      <w:docPartObj>
        <w:docPartGallery w:val="Page Numbers (Bottom of Page)"/>
        <w:docPartUnique/>
      </w:docPartObj>
    </w:sdtPr>
    <w:sdtEndPr/>
    <w:sdtContent>
      <w:p w14:paraId="7147946D" w14:textId="77777777" w:rsidR="002C4094" w:rsidRDefault="002C4094">
        <w:pPr>
          <w:pStyle w:val="Pieddepage"/>
          <w:jc w:val="right"/>
        </w:pPr>
        <w:r>
          <w:fldChar w:fldCharType="begin"/>
        </w:r>
        <w:r>
          <w:instrText>PAGE   \* MERGEFORMAT</w:instrText>
        </w:r>
        <w:r>
          <w:fldChar w:fldCharType="separate"/>
        </w:r>
        <w:r>
          <w:t>2</w:t>
        </w:r>
        <w:r>
          <w:fldChar w:fldCharType="end"/>
        </w:r>
      </w:p>
    </w:sdtContent>
  </w:sdt>
  <w:p w14:paraId="6215FB9A" w14:textId="77777777" w:rsidR="002C4094" w:rsidRDefault="002C40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F10E" w14:textId="77777777" w:rsidR="0078458F" w:rsidRDefault="0078458F" w:rsidP="002C4094">
      <w:r>
        <w:separator/>
      </w:r>
    </w:p>
  </w:footnote>
  <w:footnote w:type="continuationSeparator" w:id="0">
    <w:p w14:paraId="65C90F03" w14:textId="77777777" w:rsidR="0078458F" w:rsidRDefault="0078458F" w:rsidP="002C4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CB"/>
    <w:rsid w:val="000343E2"/>
    <w:rsid w:val="00047951"/>
    <w:rsid w:val="00060B07"/>
    <w:rsid w:val="000A558F"/>
    <w:rsid w:val="000D1D1D"/>
    <w:rsid w:val="000F66EF"/>
    <w:rsid w:val="00106CC8"/>
    <w:rsid w:val="00152DA4"/>
    <w:rsid w:val="002C4094"/>
    <w:rsid w:val="003220E5"/>
    <w:rsid w:val="00322596"/>
    <w:rsid w:val="003451E8"/>
    <w:rsid w:val="00364A4F"/>
    <w:rsid w:val="003B7F06"/>
    <w:rsid w:val="004B7C02"/>
    <w:rsid w:val="005320EF"/>
    <w:rsid w:val="005A36B2"/>
    <w:rsid w:val="006523CB"/>
    <w:rsid w:val="006C5F91"/>
    <w:rsid w:val="00743C13"/>
    <w:rsid w:val="00750B8D"/>
    <w:rsid w:val="007828A9"/>
    <w:rsid w:val="0078458F"/>
    <w:rsid w:val="007A0EF3"/>
    <w:rsid w:val="008853CA"/>
    <w:rsid w:val="008A3394"/>
    <w:rsid w:val="00943AF8"/>
    <w:rsid w:val="009663D0"/>
    <w:rsid w:val="009674F8"/>
    <w:rsid w:val="009E772F"/>
    <w:rsid w:val="00AE7315"/>
    <w:rsid w:val="00B36E09"/>
    <w:rsid w:val="00B70BF8"/>
    <w:rsid w:val="00BD2631"/>
    <w:rsid w:val="00C14661"/>
    <w:rsid w:val="00C53B8A"/>
    <w:rsid w:val="00C72687"/>
    <w:rsid w:val="00D31054"/>
    <w:rsid w:val="00DD4C3D"/>
    <w:rsid w:val="00E528C7"/>
    <w:rsid w:val="00EA1A19"/>
    <w:rsid w:val="00FA6590"/>
    <w:rsid w:val="00FB38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DEBF"/>
  <w15:chartTrackingRefBased/>
  <w15:docId w15:val="{4491F91D-130C-42B1-88DE-32B184D0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054"/>
  </w:style>
  <w:style w:type="paragraph" w:styleId="Titre1">
    <w:name w:val="heading 1"/>
    <w:basedOn w:val="Normal"/>
    <w:next w:val="Normal"/>
    <w:link w:val="Titre1Car"/>
    <w:uiPriority w:val="9"/>
    <w:qFormat/>
    <w:rsid w:val="00D31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1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10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10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3105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31054"/>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31054"/>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31054"/>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31054"/>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60B07"/>
    <w:pPr>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060B07"/>
    <w:rPr>
      <w:rFonts w:ascii="Arial" w:eastAsiaTheme="majorEastAsia" w:hAnsi="Arial" w:cstheme="majorBidi"/>
      <w:spacing w:val="-10"/>
      <w:kern w:val="28"/>
      <w:sz w:val="56"/>
      <w:szCs w:val="56"/>
    </w:rPr>
  </w:style>
  <w:style w:type="paragraph" w:styleId="Paragraphedeliste">
    <w:name w:val="List Paragraph"/>
    <w:basedOn w:val="Normal"/>
    <w:link w:val="ParagraphedelisteCar"/>
    <w:uiPriority w:val="34"/>
    <w:rsid w:val="003220E5"/>
    <w:pPr>
      <w:spacing w:after="160" w:line="259" w:lineRule="auto"/>
      <w:ind w:left="720"/>
      <w:contextualSpacing/>
      <w:jc w:val="both"/>
    </w:pPr>
    <w:rPr>
      <w:lang w:val="en-US"/>
    </w:rPr>
  </w:style>
  <w:style w:type="character" w:customStyle="1" w:styleId="ParagraphedelisteCar">
    <w:name w:val="Paragraphe de liste Car"/>
    <w:basedOn w:val="Policepardfaut"/>
    <w:link w:val="Paragraphedeliste"/>
    <w:uiPriority w:val="34"/>
    <w:rsid w:val="003220E5"/>
    <w:rPr>
      <w:lang w:val="en-US"/>
    </w:rPr>
  </w:style>
  <w:style w:type="character" w:customStyle="1" w:styleId="Titre1Car">
    <w:name w:val="Titre 1 Car"/>
    <w:basedOn w:val="Policepardfaut"/>
    <w:link w:val="Titre1"/>
    <w:uiPriority w:val="9"/>
    <w:rsid w:val="00D3105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105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105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D3105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D3105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D3105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D3105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D3105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D31054"/>
    <w:rPr>
      <w:rFonts w:asciiTheme="minorHAnsi" w:eastAsiaTheme="majorEastAsia" w:hAnsiTheme="minorHAnsi" w:cstheme="majorBidi"/>
      <w:color w:val="272727" w:themeColor="text1" w:themeTint="D8"/>
    </w:rPr>
  </w:style>
  <w:style w:type="paragraph" w:styleId="Sous-titre">
    <w:name w:val="Subtitle"/>
    <w:basedOn w:val="Normal"/>
    <w:next w:val="Normal"/>
    <w:link w:val="Sous-titreCar"/>
    <w:uiPriority w:val="11"/>
    <w:qFormat/>
    <w:rsid w:val="00D310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105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D3105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31054"/>
    <w:rPr>
      <w:i/>
      <w:iCs/>
      <w:color w:val="404040" w:themeColor="text1" w:themeTint="BF"/>
    </w:rPr>
  </w:style>
  <w:style w:type="character" w:styleId="Accentuationintense">
    <w:name w:val="Intense Emphasis"/>
    <w:basedOn w:val="Policepardfaut"/>
    <w:uiPriority w:val="21"/>
    <w:qFormat/>
    <w:rsid w:val="00D31054"/>
    <w:rPr>
      <w:i/>
      <w:iCs/>
      <w:color w:val="0F4761" w:themeColor="accent1" w:themeShade="BF"/>
    </w:rPr>
  </w:style>
  <w:style w:type="paragraph" w:styleId="Citationintense">
    <w:name w:val="Intense Quote"/>
    <w:basedOn w:val="Normal"/>
    <w:next w:val="Normal"/>
    <w:link w:val="CitationintenseCar"/>
    <w:uiPriority w:val="30"/>
    <w:qFormat/>
    <w:rsid w:val="00D31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1054"/>
    <w:rPr>
      <w:i/>
      <w:iCs/>
      <w:color w:val="0F4761" w:themeColor="accent1" w:themeShade="BF"/>
    </w:rPr>
  </w:style>
  <w:style w:type="character" w:styleId="Rfrenceintense">
    <w:name w:val="Intense Reference"/>
    <w:basedOn w:val="Policepardfaut"/>
    <w:uiPriority w:val="32"/>
    <w:qFormat/>
    <w:rsid w:val="00D31054"/>
    <w:rPr>
      <w:b/>
      <w:bCs/>
      <w:smallCaps/>
      <w:color w:val="0F4761" w:themeColor="accent1" w:themeShade="BF"/>
      <w:spacing w:val="5"/>
    </w:rPr>
  </w:style>
  <w:style w:type="paragraph" w:styleId="En-tte">
    <w:name w:val="header"/>
    <w:basedOn w:val="Normal"/>
    <w:link w:val="En-tteCar"/>
    <w:uiPriority w:val="99"/>
    <w:unhideWhenUsed/>
    <w:rsid w:val="002C4094"/>
    <w:pPr>
      <w:tabs>
        <w:tab w:val="center" w:pos="4513"/>
        <w:tab w:val="right" w:pos="9026"/>
      </w:tabs>
    </w:pPr>
  </w:style>
  <w:style w:type="character" w:customStyle="1" w:styleId="En-tteCar">
    <w:name w:val="En-tête Car"/>
    <w:basedOn w:val="Policepardfaut"/>
    <w:link w:val="En-tte"/>
    <w:uiPriority w:val="99"/>
    <w:rsid w:val="002C4094"/>
  </w:style>
  <w:style w:type="paragraph" w:styleId="Pieddepage">
    <w:name w:val="footer"/>
    <w:basedOn w:val="Normal"/>
    <w:link w:val="PieddepageCar"/>
    <w:uiPriority w:val="99"/>
    <w:unhideWhenUsed/>
    <w:rsid w:val="002C4094"/>
    <w:pPr>
      <w:tabs>
        <w:tab w:val="center" w:pos="4513"/>
        <w:tab w:val="right" w:pos="9026"/>
      </w:tabs>
    </w:pPr>
  </w:style>
  <w:style w:type="character" w:customStyle="1" w:styleId="PieddepageCar">
    <w:name w:val="Pied de page Car"/>
    <w:basedOn w:val="Policepardfaut"/>
    <w:link w:val="Pieddepage"/>
    <w:uiPriority w:val="99"/>
    <w:rsid w:val="002C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rvice_des_Commissions\3_Mod&#232;les\SDC_Mod&#232;le_R&#233;sum&#23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b32b45ae64e23e53c9c34b8a9c15b4de">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5485dec7d9f2cc45c50286374a1844d7"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 xsi:nil="true"/>
    <DocumentType xmlns="84f9a6a8-f2d8-4679-afd4-008cbd8c3661">Resumé</DocumentType>
    <FileClassificationLevel3 xmlns="84f9a6a8-f2d8-4679-afd4-008cbd8c3661">DP8695</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8695</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/sftpecos/Dossiers_parlementaires/8695/</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B3411448-46F5-413D-B73B-ADB63DC28681}">
  <ds:schemaRefs>
    <ds:schemaRef ds:uri="http://schemas.openxmlformats.org/officeDocument/2006/bibliography"/>
  </ds:schemaRefs>
</ds:datastoreItem>
</file>

<file path=customXml/itemProps2.xml><?xml version="1.0" encoding="utf-8"?>
<ds:datastoreItem xmlns:ds="http://schemas.openxmlformats.org/officeDocument/2006/customXml" ds:itemID="{C76A89B5-8B22-48A4-A964-14F659BE6F45}"/>
</file>

<file path=customXml/itemProps3.xml><?xml version="1.0" encoding="utf-8"?>
<ds:datastoreItem xmlns:ds="http://schemas.openxmlformats.org/officeDocument/2006/customXml" ds:itemID="{F36357A3-879F-49C1-9423-54F84D8BB458}"/>
</file>

<file path=customXml/itemProps4.xml><?xml version="1.0" encoding="utf-8"?>
<ds:datastoreItem xmlns:ds="http://schemas.openxmlformats.org/officeDocument/2006/customXml" ds:itemID="{C7A65558-E3A5-445B-883A-4C68A24E27A4}"/>
</file>

<file path=docProps/app.xml><?xml version="1.0" encoding="utf-8"?>
<Properties xmlns="http://schemas.openxmlformats.org/officeDocument/2006/extended-properties" xmlns:vt="http://schemas.openxmlformats.org/officeDocument/2006/docPropsVTypes">
  <Template>SDC_Modèle_Résumé</Template>
  <TotalTime>11</TotalTime>
  <Pages>2</Pages>
  <Words>557</Words>
  <Characters>3065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20260604_Resume</dc:title>
  <dc:subject/>
  <dc:creator>Christophe LI</dc:creator>
  <cp:keywords/>
  <dc:description/>
  <cp:lastModifiedBy>Christophe LI</cp:lastModifiedBy>
  <cp:revision>3</cp:revision>
  <dcterms:created xsi:type="dcterms:W3CDTF">2026-06-03T14:35:00Z</dcterms:created>
  <dcterms:modified xsi:type="dcterms:W3CDTF">2026-06-04T12:49:00Z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