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04E" w14:textId="0BB1D70A" w:rsidR="00E71A71" w:rsidRPr="00E71A71" w:rsidRDefault="00E71A71" w:rsidP="00E71A71">
      <w:pPr>
        <w:tabs>
          <w:tab w:val="left" w:pos="4451"/>
        </w:tabs>
        <w:autoSpaceDE w:val="0"/>
        <w:autoSpaceDN w:val="0"/>
        <w:adjustRightInd w:val="0"/>
        <w:spacing w:after="0" w:line="240" w:lineRule="auto"/>
        <w:jc w:val="center"/>
        <w:rPr>
          <w:rFonts w:ascii="Arial" w:hAnsi="Arial" w:cs="Arial"/>
          <w:b/>
          <w:bCs/>
          <w:sz w:val="28"/>
          <w:szCs w:val="28"/>
          <w:lang w:val="fr-CH"/>
        </w:rPr>
      </w:pPr>
      <w:r w:rsidRPr="00E71A71">
        <w:rPr>
          <w:rFonts w:ascii="Arial" w:hAnsi="Arial" w:cs="Arial"/>
          <w:b/>
          <w:bCs/>
          <w:sz w:val="28"/>
          <w:szCs w:val="28"/>
          <w:lang w:val="fr-CH"/>
        </w:rPr>
        <w:t>N° 8</w:t>
      </w:r>
      <w:r w:rsidR="00685763">
        <w:rPr>
          <w:rFonts w:ascii="Arial" w:hAnsi="Arial" w:cs="Arial"/>
          <w:b/>
          <w:bCs/>
          <w:sz w:val="28"/>
          <w:szCs w:val="28"/>
          <w:lang w:val="fr-CH"/>
        </w:rPr>
        <w:t>61</w:t>
      </w:r>
      <w:r w:rsidR="00640D3C">
        <w:rPr>
          <w:rFonts w:ascii="Arial" w:hAnsi="Arial" w:cs="Arial"/>
          <w:b/>
          <w:bCs/>
          <w:sz w:val="28"/>
          <w:szCs w:val="28"/>
          <w:lang w:val="fr-CH"/>
        </w:rPr>
        <w:t>2</w:t>
      </w:r>
    </w:p>
    <w:p w14:paraId="55A21E12" w14:textId="77777777" w:rsidR="00E71A71" w:rsidRPr="00E71A71" w:rsidRDefault="00E71A71" w:rsidP="00E71A71">
      <w:pPr>
        <w:tabs>
          <w:tab w:val="left" w:pos="4451"/>
        </w:tabs>
        <w:autoSpaceDE w:val="0"/>
        <w:autoSpaceDN w:val="0"/>
        <w:adjustRightInd w:val="0"/>
        <w:spacing w:after="0" w:line="240" w:lineRule="auto"/>
        <w:jc w:val="center"/>
        <w:rPr>
          <w:rFonts w:ascii="Arial" w:hAnsi="Arial" w:cs="Arial"/>
          <w:b/>
          <w:bCs/>
          <w:sz w:val="28"/>
          <w:szCs w:val="28"/>
          <w:lang w:val="fr-CH"/>
        </w:rPr>
      </w:pPr>
    </w:p>
    <w:p w14:paraId="47687B4B" w14:textId="77777777" w:rsidR="00E71A71" w:rsidRPr="00E71A71" w:rsidRDefault="00E71A71" w:rsidP="00E71A71">
      <w:pPr>
        <w:autoSpaceDE w:val="0"/>
        <w:autoSpaceDN w:val="0"/>
        <w:adjustRightInd w:val="0"/>
        <w:spacing w:after="0" w:line="240" w:lineRule="auto"/>
        <w:jc w:val="center"/>
        <w:rPr>
          <w:rFonts w:ascii="Arial" w:hAnsi="Arial" w:cs="Arial"/>
          <w:bCs/>
          <w:sz w:val="28"/>
          <w:szCs w:val="28"/>
          <w:lang w:val="fr-CH"/>
        </w:rPr>
      </w:pPr>
      <w:r w:rsidRPr="00E71A71">
        <w:rPr>
          <w:rFonts w:ascii="Arial" w:hAnsi="Arial" w:cs="Arial"/>
          <w:bCs/>
          <w:sz w:val="28"/>
          <w:szCs w:val="28"/>
          <w:lang w:val="fr-CH"/>
        </w:rPr>
        <w:t>CHAMBRE DES DÉPUTÉS</w:t>
      </w:r>
    </w:p>
    <w:p w14:paraId="0E4ED586" w14:textId="77777777" w:rsidR="00E71A71" w:rsidRPr="00E71A71" w:rsidRDefault="00E71A71" w:rsidP="00E71A71">
      <w:pPr>
        <w:pBdr>
          <w:bottom w:val="thinThickLargeGap" w:sz="24" w:space="1" w:color="auto"/>
        </w:pBdr>
        <w:autoSpaceDE w:val="0"/>
        <w:autoSpaceDN w:val="0"/>
        <w:adjustRightInd w:val="0"/>
        <w:spacing w:after="0" w:line="240" w:lineRule="auto"/>
        <w:rPr>
          <w:rFonts w:ascii="Arial" w:hAnsi="Arial" w:cs="Arial"/>
          <w:b/>
          <w:bCs/>
          <w:szCs w:val="20"/>
          <w:lang w:val="fr-CH"/>
        </w:rPr>
      </w:pPr>
    </w:p>
    <w:p w14:paraId="01623107"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p>
    <w:p w14:paraId="2EFF87A0"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r w:rsidRPr="00E71A71">
        <w:rPr>
          <w:rFonts w:ascii="Arial" w:hAnsi="Arial" w:cs="Arial"/>
          <w:b/>
          <w:bCs/>
          <w:spacing w:val="76"/>
          <w:sz w:val="36"/>
          <w:szCs w:val="36"/>
          <w:lang w:val="fr-CH"/>
        </w:rPr>
        <w:t>PROJET DE LOI</w:t>
      </w:r>
    </w:p>
    <w:p w14:paraId="1C02D3CE"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p>
    <w:p w14:paraId="4BD1D928" w14:textId="454B7D4D" w:rsidR="001F1B62" w:rsidRDefault="00640D3C" w:rsidP="00E71A71">
      <w:pPr>
        <w:spacing w:after="0" w:line="240" w:lineRule="auto"/>
        <w:jc w:val="center"/>
        <w:rPr>
          <w:rFonts w:ascii="Arial" w:hAnsi="Arial" w:cs="Arial"/>
          <w:b/>
          <w:bCs/>
          <w:sz w:val="22"/>
          <w:szCs w:val="22"/>
        </w:rPr>
      </w:pPr>
      <w:proofErr w:type="gramStart"/>
      <w:r w:rsidRPr="00640D3C">
        <w:rPr>
          <w:rFonts w:ascii="Arial" w:hAnsi="Arial" w:cs="Arial"/>
          <w:b/>
          <w:bCs/>
          <w:sz w:val="22"/>
          <w:szCs w:val="22"/>
        </w:rPr>
        <w:t>portant</w:t>
      </w:r>
      <w:proofErr w:type="gramEnd"/>
      <w:r w:rsidRPr="00640D3C">
        <w:rPr>
          <w:rFonts w:ascii="Arial" w:hAnsi="Arial" w:cs="Arial"/>
          <w:b/>
          <w:bCs/>
          <w:sz w:val="22"/>
          <w:szCs w:val="22"/>
        </w:rPr>
        <w:t xml:space="preserve"> approbation de l’Accord de siège entre le Grand-Duché de Luxembourg et la Cour de Justice Benelux, fait à Luxembourg, le 2 juillet 2025</w:t>
      </w:r>
    </w:p>
    <w:p w14:paraId="6EBB72D7" w14:textId="77777777" w:rsidR="00685763" w:rsidRPr="00E71A71" w:rsidRDefault="00685763" w:rsidP="00E71A71">
      <w:pPr>
        <w:spacing w:after="0" w:line="240" w:lineRule="auto"/>
        <w:jc w:val="center"/>
        <w:rPr>
          <w:rFonts w:ascii="Arial" w:hAnsi="Arial" w:cs="Arial"/>
          <w:b/>
          <w:bCs/>
          <w:lang w:val="fr-CH"/>
        </w:rPr>
      </w:pPr>
    </w:p>
    <w:p w14:paraId="2DCF5E6E" w14:textId="77777777" w:rsidR="00E71A71" w:rsidRPr="00E71A71" w:rsidRDefault="00E71A71" w:rsidP="00E71A71">
      <w:pPr>
        <w:autoSpaceDE w:val="0"/>
        <w:autoSpaceDN w:val="0"/>
        <w:adjustRightInd w:val="0"/>
        <w:spacing w:after="0" w:line="240" w:lineRule="auto"/>
        <w:jc w:val="center"/>
        <w:rPr>
          <w:rFonts w:ascii="Arial" w:hAnsi="Arial" w:cs="Arial"/>
          <w:b/>
          <w:bCs/>
          <w:lang w:val="fr-CH" w:eastAsia="lb-LU"/>
        </w:rPr>
      </w:pPr>
      <w:r w:rsidRPr="00E71A71">
        <w:rPr>
          <w:rFonts w:ascii="Arial" w:hAnsi="Arial" w:cs="Arial"/>
          <w:b/>
          <w:bCs/>
          <w:lang w:val="fr-CH" w:eastAsia="lb-LU"/>
        </w:rPr>
        <w:t>* * *</w:t>
      </w:r>
    </w:p>
    <w:p w14:paraId="0766749C" w14:textId="77777777" w:rsidR="00E71A71" w:rsidRPr="00E71A71" w:rsidRDefault="00E71A71" w:rsidP="00E71A71">
      <w:pPr>
        <w:autoSpaceDE w:val="0"/>
        <w:autoSpaceDN w:val="0"/>
        <w:adjustRightInd w:val="0"/>
        <w:spacing w:after="0" w:line="240" w:lineRule="auto"/>
        <w:jc w:val="center"/>
        <w:rPr>
          <w:rFonts w:ascii="Arial" w:hAnsi="Arial" w:cs="Arial"/>
          <w:b/>
          <w:bCs/>
          <w:sz w:val="22"/>
          <w:szCs w:val="22"/>
          <w:lang w:val="fr-CH" w:eastAsia="lb-LU"/>
        </w:rPr>
      </w:pPr>
    </w:p>
    <w:p w14:paraId="4EA8D20E" w14:textId="64011478" w:rsidR="00EC6E70" w:rsidRDefault="005B0186" w:rsidP="00EC6E70">
      <w:pPr>
        <w:jc w:val="center"/>
        <w:rPr>
          <w:rFonts w:ascii="Arial" w:hAnsi="Arial" w:cs="Arial"/>
          <w:b/>
          <w:sz w:val="22"/>
          <w:szCs w:val="22"/>
        </w:rPr>
      </w:pPr>
      <w:r w:rsidRPr="005C08D1">
        <w:rPr>
          <w:rFonts w:ascii="Arial" w:hAnsi="Arial" w:cs="Arial"/>
          <w:b/>
          <w:sz w:val="22"/>
          <w:szCs w:val="22"/>
        </w:rPr>
        <w:t>R</w:t>
      </w:r>
      <w:r>
        <w:rPr>
          <w:rFonts w:ascii="Arial" w:hAnsi="Arial" w:cs="Arial"/>
          <w:b/>
          <w:sz w:val="22"/>
          <w:szCs w:val="22"/>
        </w:rPr>
        <w:t>ÉSUMÉ</w:t>
      </w:r>
    </w:p>
    <w:p w14:paraId="47D2F1F1" w14:textId="77777777" w:rsidR="007C60A2" w:rsidRDefault="007C60A2" w:rsidP="005B0186">
      <w:pPr>
        <w:jc w:val="both"/>
        <w:rPr>
          <w:rFonts w:ascii="Arial" w:hAnsi="Arial" w:cs="Arial"/>
          <w:bCs/>
          <w:sz w:val="22"/>
          <w:szCs w:val="22"/>
        </w:rPr>
      </w:pPr>
    </w:p>
    <w:p w14:paraId="7691C5FA" w14:textId="77777777" w:rsidR="00582E5B" w:rsidRDefault="00582E5B" w:rsidP="00582E5B">
      <w:pPr>
        <w:autoSpaceDE w:val="0"/>
        <w:autoSpaceDN w:val="0"/>
        <w:adjustRightInd w:val="0"/>
        <w:spacing w:after="0" w:line="240" w:lineRule="auto"/>
        <w:jc w:val="both"/>
        <w:rPr>
          <w:rFonts w:ascii="Arial" w:hAnsi="Arial" w:cs="Arial"/>
          <w:bCs/>
          <w:sz w:val="22"/>
          <w:szCs w:val="22"/>
          <w:lang w:eastAsia="lb-LU"/>
        </w:rPr>
      </w:pPr>
      <w:r w:rsidRPr="00582E5B">
        <w:rPr>
          <w:rFonts w:ascii="Arial" w:hAnsi="Arial" w:cs="Arial"/>
          <w:bCs/>
          <w:sz w:val="22"/>
          <w:szCs w:val="22"/>
          <w:lang w:eastAsia="lb-LU"/>
        </w:rPr>
        <w:t xml:space="preserve">Le projet de loi vise à approuver l'Accord de siège entre le Grand-Duché de Luxembourg et la Cour de Justice Benelux, signé à Luxembourg le 2 juillet 2025. </w:t>
      </w:r>
    </w:p>
    <w:p w14:paraId="2B4247E4" w14:textId="77777777" w:rsidR="00582E5B" w:rsidRDefault="00582E5B" w:rsidP="00582E5B">
      <w:pPr>
        <w:autoSpaceDE w:val="0"/>
        <w:autoSpaceDN w:val="0"/>
        <w:adjustRightInd w:val="0"/>
        <w:spacing w:after="0" w:line="240" w:lineRule="auto"/>
        <w:jc w:val="both"/>
        <w:rPr>
          <w:rFonts w:ascii="Arial" w:hAnsi="Arial" w:cs="Arial"/>
          <w:bCs/>
          <w:sz w:val="22"/>
          <w:szCs w:val="22"/>
          <w:lang w:eastAsia="lb-LU"/>
        </w:rPr>
      </w:pPr>
    </w:p>
    <w:p w14:paraId="355FEA26" w14:textId="51650374" w:rsidR="00582E5B" w:rsidRDefault="00582E5B" w:rsidP="00582E5B">
      <w:pPr>
        <w:autoSpaceDE w:val="0"/>
        <w:autoSpaceDN w:val="0"/>
        <w:adjustRightInd w:val="0"/>
        <w:spacing w:after="0" w:line="240" w:lineRule="auto"/>
        <w:jc w:val="both"/>
        <w:rPr>
          <w:rFonts w:ascii="Arial" w:hAnsi="Arial" w:cs="Arial"/>
          <w:bCs/>
          <w:sz w:val="22"/>
          <w:szCs w:val="22"/>
          <w:lang w:eastAsia="lb-LU"/>
        </w:rPr>
      </w:pPr>
      <w:r w:rsidRPr="00582E5B">
        <w:rPr>
          <w:rFonts w:ascii="Arial" w:hAnsi="Arial" w:cs="Arial"/>
          <w:bCs/>
          <w:sz w:val="22"/>
          <w:szCs w:val="22"/>
          <w:lang w:eastAsia="lb-LU"/>
        </w:rPr>
        <w:t>Cet accord s'inscrit dans le cadre du développement institutionnel de la coopération Benelux, qui regroupe la Belgique, les Pays-Bas et le Luxembourg. Il a pour objectif de garantir le bon fonctionnement de la Cour de Justice Benelux en reconnaissant sa personnalité juridique internationale et en octroyant à cette institution ainsi qu'à son personnel les privilèges et immunités nécessaires pour que la Cour puisse interagir avec le Grand-Duché de Luxembourg conformément aux principes fondamentaux gouvernant son fonctionnement, notamment sa neutralité, son impartialité et son indépendance.</w:t>
      </w:r>
    </w:p>
    <w:p w14:paraId="2860D32D" w14:textId="77777777" w:rsidR="00582E5B" w:rsidRPr="00582E5B" w:rsidRDefault="00582E5B" w:rsidP="00582E5B">
      <w:pPr>
        <w:autoSpaceDE w:val="0"/>
        <w:autoSpaceDN w:val="0"/>
        <w:adjustRightInd w:val="0"/>
        <w:spacing w:after="0" w:line="240" w:lineRule="auto"/>
        <w:jc w:val="both"/>
        <w:rPr>
          <w:rFonts w:ascii="Arial" w:hAnsi="Arial" w:cs="Arial"/>
          <w:bCs/>
          <w:sz w:val="22"/>
          <w:szCs w:val="22"/>
          <w:lang w:eastAsia="lb-LU"/>
        </w:rPr>
      </w:pPr>
    </w:p>
    <w:p w14:paraId="53BACB21" w14:textId="77777777" w:rsidR="00582E5B" w:rsidRDefault="00582E5B" w:rsidP="00582E5B">
      <w:pPr>
        <w:autoSpaceDE w:val="0"/>
        <w:autoSpaceDN w:val="0"/>
        <w:adjustRightInd w:val="0"/>
        <w:spacing w:after="0" w:line="240" w:lineRule="auto"/>
        <w:jc w:val="both"/>
        <w:rPr>
          <w:rFonts w:ascii="Arial" w:hAnsi="Arial" w:cs="Arial"/>
          <w:bCs/>
          <w:sz w:val="22"/>
          <w:szCs w:val="22"/>
          <w:lang w:eastAsia="lb-LU"/>
        </w:rPr>
      </w:pPr>
      <w:r w:rsidRPr="00582E5B">
        <w:rPr>
          <w:rFonts w:ascii="Arial" w:hAnsi="Arial" w:cs="Arial"/>
          <w:bCs/>
          <w:sz w:val="22"/>
          <w:szCs w:val="22"/>
          <w:lang w:eastAsia="lb-LU"/>
        </w:rPr>
        <w:t xml:space="preserve">L'accord établit un cadre juridique complet pour l'implantation et le fonctionnement de la Cour au Luxembourg. Il précise le statut juridique et l'inviolabilité des locaux de la Cour, les immunités et privilèges accordés aux juges, greffiers et personnel administratif, ainsi que les exemptions fiscales et douanières dont ils bénéficient. L'accord détermine également le régime applicable aux communications officielles et à la sécurité, de même que les modalités de coopération avec les autorités nationales luxembourgeoises. Il confère à la Cour un statut similaire à celui des organisations internationales implantées dans un État hôte et produit des effets juridiques obligatoires pour les deux parties. </w:t>
      </w:r>
    </w:p>
    <w:p w14:paraId="30C08801" w14:textId="77777777" w:rsidR="00582E5B" w:rsidRDefault="00582E5B" w:rsidP="00582E5B">
      <w:pPr>
        <w:autoSpaceDE w:val="0"/>
        <w:autoSpaceDN w:val="0"/>
        <w:adjustRightInd w:val="0"/>
        <w:spacing w:after="0" w:line="240" w:lineRule="auto"/>
        <w:jc w:val="both"/>
        <w:rPr>
          <w:rFonts w:ascii="Arial" w:hAnsi="Arial" w:cs="Arial"/>
          <w:bCs/>
          <w:sz w:val="22"/>
          <w:szCs w:val="22"/>
          <w:lang w:eastAsia="lb-LU"/>
        </w:rPr>
      </w:pPr>
    </w:p>
    <w:p w14:paraId="3BA69536" w14:textId="4152E234" w:rsidR="00582E5B" w:rsidRPr="00582E5B" w:rsidRDefault="00582E5B" w:rsidP="00582E5B">
      <w:pPr>
        <w:autoSpaceDE w:val="0"/>
        <w:autoSpaceDN w:val="0"/>
        <w:adjustRightInd w:val="0"/>
        <w:spacing w:after="0" w:line="240" w:lineRule="auto"/>
        <w:jc w:val="both"/>
        <w:rPr>
          <w:rFonts w:ascii="Arial" w:hAnsi="Arial" w:cs="Arial"/>
          <w:bCs/>
          <w:sz w:val="22"/>
          <w:szCs w:val="22"/>
          <w:lang w:eastAsia="lb-LU"/>
        </w:rPr>
      </w:pPr>
      <w:r w:rsidRPr="00582E5B">
        <w:rPr>
          <w:rFonts w:ascii="Arial" w:hAnsi="Arial" w:cs="Arial"/>
          <w:bCs/>
          <w:sz w:val="22"/>
          <w:szCs w:val="22"/>
          <w:lang w:eastAsia="lb-LU"/>
        </w:rPr>
        <w:t>La Cour de Justice Benelux, instituée par le Traité du 31 mars 1965 entré en vigueur le 1</w:t>
      </w:r>
      <w:r w:rsidRPr="00582E5B">
        <w:rPr>
          <w:rFonts w:ascii="Arial" w:hAnsi="Arial" w:cs="Arial"/>
          <w:bCs/>
          <w:sz w:val="22"/>
          <w:szCs w:val="22"/>
          <w:vertAlign w:val="superscript"/>
          <w:lang w:eastAsia="lb-LU"/>
        </w:rPr>
        <w:t>er</w:t>
      </w:r>
      <w:r>
        <w:rPr>
          <w:rFonts w:ascii="Arial" w:hAnsi="Arial" w:cs="Arial"/>
          <w:bCs/>
          <w:sz w:val="22"/>
          <w:szCs w:val="22"/>
          <w:lang w:eastAsia="lb-LU"/>
        </w:rPr>
        <w:t xml:space="preserve"> </w:t>
      </w:r>
      <w:r w:rsidRPr="00582E5B">
        <w:rPr>
          <w:rFonts w:ascii="Arial" w:hAnsi="Arial" w:cs="Arial"/>
          <w:bCs/>
          <w:sz w:val="22"/>
          <w:szCs w:val="22"/>
          <w:lang w:eastAsia="lb-LU"/>
        </w:rPr>
        <w:t>janvier 1974, a son siège permanent à Luxembourg depuis le 1</w:t>
      </w:r>
      <w:r w:rsidRPr="00582E5B">
        <w:rPr>
          <w:rFonts w:ascii="Arial" w:hAnsi="Arial" w:cs="Arial"/>
          <w:bCs/>
          <w:sz w:val="22"/>
          <w:szCs w:val="22"/>
          <w:vertAlign w:val="superscript"/>
          <w:lang w:eastAsia="lb-LU"/>
        </w:rPr>
        <w:t>er</w:t>
      </w:r>
      <w:r>
        <w:rPr>
          <w:rFonts w:ascii="Arial" w:hAnsi="Arial" w:cs="Arial"/>
          <w:bCs/>
          <w:sz w:val="22"/>
          <w:szCs w:val="22"/>
          <w:lang w:eastAsia="lb-LU"/>
        </w:rPr>
        <w:t xml:space="preserve"> </w:t>
      </w:r>
      <w:r w:rsidRPr="00582E5B">
        <w:rPr>
          <w:rFonts w:ascii="Arial" w:hAnsi="Arial" w:cs="Arial"/>
          <w:bCs/>
          <w:sz w:val="22"/>
          <w:szCs w:val="22"/>
          <w:lang w:eastAsia="lb-LU"/>
        </w:rPr>
        <w:t>décembre 2016, et son greffe y a été transféré depuis Bruxelles le 30 juin 2023.</w:t>
      </w:r>
    </w:p>
    <w:p w14:paraId="4542CE76" w14:textId="77777777" w:rsidR="00582E5B" w:rsidRDefault="00582E5B" w:rsidP="00723893">
      <w:pPr>
        <w:autoSpaceDE w:val="0"/>
        <w:autoSpaceDN w:val="0"/>
        <w:adjustRightInd w:val="0"/>
        <w:spacing w:after="0" w:line="240" w:lineRule="auto"/>
        <w:jc w:val="both"/>
        <w:rPr>
          <w:rFonts w:ascii="Arial" w:hAnsi="Arial" w:cs="Arial"/>
          <w:bCs/>
          <w:sz w:val="22"/>
          <w:szCs w:val="22"/>
          <w:lang w:eastAsia="lb-LU"/>
        </w:rPr>
      </w:pPr>
    </w:p>
    <w:p w14:paraId="44989883" w14:textId="187DB122" w:rsidR="0015750F" w:rsidRDefault="0015750F" w:rsidP="00723893">
      <w:pPr>
        <w:autoSpaceDE w:val="0"/>
        <w:autoSpaceDN w:val="0"/>
        <w:adjustRightInd w:val="0"/>
        <w:spacing w:after="0" w:line="240" w:lineRule="auto"/>
        <w:jc w:val="both"/>
        <w:rPr>
          <w:rFonts w:ascii="Arial" w:hAnsi="Arial" w:cs="Arial"/>
          <w:bCs/>
          <w:sz w:val="22"/>
          <w:szCs w:val="22"/>
          <w:lang w:eastAsia="lb-LU"/>
        </w:rPr>
      </w:pPr>
    </w:p>
    <w:sectPr w:rsidR="00157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49D"/>
    <w:multiLevelType w:val="hybridMultilevel"/>
    <w:tmpl w:val="C5001CCE"/>
    <w:lvl w:ilvl="0" w:tplc="BBE854E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09010C"/>
    <w:multiLevelType w:val="hybridMultilevel"/>
    <w:tmpl w:val="7EF28A5C"/>
    <w:lvl w:ilvl="0" w:tplc="A93CE9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6D618A"/>
    <w:multiLevelType w:val="hybridMultilevel"/>
    <w:tmpl w:val="B3F8E196"/>
    <w:lvl w:ilvl="0" w:tplc="17B00C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B61992"/>
    <w:multiLevelType w:val="hybridMultilevel"/>
    <w:tmpl w:val="144E7854"/>
    <w:lvl w:ilvl="0" w:tplc="BBE854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41B0E"/>
    <w:multiLevelType w:val="hybridMultilevel"/>
    <w:tmpl w:val="DDFE1572"/>
    <w:lvl w:ilvl="0" w:tplc="4BC64A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5A7D46"/>
    <w:multiLevelType w:val="multilevel"/>
    <w:tmpl w:val="DDFE1572"/>
    <w:styleLink w:val="Listeactuelle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1270A"/>
    <w:multiLevelType w:val="hybridMultilevel"/>
    <w:tmpl w:val="7EF28A5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B75F03"/>
    <w:multiLevelType w:val="hybridMultilevel"/>
    <w:tmpl w:val="E77E891C"/>
    <w:lvl w:ilvl="0" w:tplc="BBE854E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02005">
    <w:abstractNumId w:val="7"/>
  </w:num>
  <w:num w:numId="2" w16cid:durableId="1969315192">
    <w:abstractNumId w:val="2"/>
  </w:num>
  <w:num w:numId="3" w16cid:durableId="802624743">
    <w:abstractNumId w:val="4"/>
  </w:num>
  <w:num w:numId="4" w16cid:durableId="1142234815">
    <w:abstractNumId w:val="5"/>
  </w:num>
  <w:num w:numId="5" w16cid:durableId="71392517">
    <w:abstractNumId w:val="1"/>
  </w:num>
  <w:num w:numId="6" w16cid:durableId="1870341157">
    <w:abstractNumId w:val="6"/>
  </w:num>
  <w:num w:numId="7" w16cid:durableId="669872909">
    <w:abstractNumId w:val="0"/>
  </w:num>
  <w:num w:numId="8" w16cid:durableId="2139641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38"/>
    <w:rsid w:val="00027130"/>
    <w:rsid w:val="00057D9C"/>
    <w:rsid w:val="000B069C"/>
    <w:rsid w:val="0015750F"/>
    <w:rsid w:val="0018059C"/>
    <w:rsid w:val="001B72DB"/>
    <w:rsid w:val="001E1D43"/>
    <w:rsid w:val="001F1B62"/>
    <w:rsid w:val="0020213C"/>
    <w:rsid w:val="00274562"/>
    <w:rsid w:val="002A1A56"/>
    <w:rsid w:val="00363A77"/>
    <w:rsid w:val="003736A5"/>
    <w:rsid w:val="00417577"/>
    <w:rsid w:val="00471A73"/>
    <w:rsid w:val="00551A85"/>
    <w:rsid w:val="00582E5B"/>
    <w:rsid w:val="00594A18"/>
    <w:rsid w:val="005B0186"/>
    <w:rsid w:val="00626236"/>
    <w:rsid w:val="00640D3C"/>
    <w:rsid w:val="00685763"/>
    <w:rsid w:val="00716A68"/>
    <w:rsid w:val="00721783"/>
    <w:rsid w:val="00723893"/>
    <w:rsid w:val="0073692D"/>
    <w:rsid w:val="007B11D9"/>
    <w:rsid w:val="007C60A2"/>
    <w:rsid w:val="008168A2"/>
    <w:rsid w:val="008B4C44"/>
    <w:rsid w:val="00910BA0"/>
    <w:rsid w:val="00987806"/>
    <w:rsid w:val="009C284A"/>
    <w:rsid w:val="00A048E5"/>
    <w:rsid w:val="00A62AB5"/>
    <w:rsid w:val="00B02726"/>
    <w:rsid w:val="00B64B38"/>
    <w:rsid w:val="00BE26F6"/>
    <w:rsid w:val="00D35AFA"/>
    <w:rsid w:val="00D35FF3"/>
    <w:rsid w:val="00D4452F"/>
    <w:rsid w:val="00D9429D"/>
    <w:rsid w:val="00DB7C15"/>
    <w:rsid w:val="00DE227A"/>
    <w:rsid w:val="00E71A71"/>
    <w:rsid w:val="00EC6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DDEC"/>
  <w15:chartTrackingRefBased/>
  <w15:docId w15:val="{AE54FD88-0796-C243-8EE6-3272266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4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4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4B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4B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4B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4B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4B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4B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4B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B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4B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4B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4B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4B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4B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4B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4B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4B38"/>
    <w:rPr>
      <w:rFonts w:eastAsiaTheme="majorEastAsia" w:cstheme="majorBidi"/>
      <w:color w:val="272727" w:themeColor="text1" w:themeTint="D8"/>
    </w:rPr>
  </w:style>
  <w:style w:type="paragraph" w:styleId="Titre">
    <w:name w:val="Title"/>
    <w:basedOn w:val="Normal"/>
    <w:next w:val="Normal"/>
    <w:link w:val="TitreCar"/>
    <w:uiPriority w:val="10"/>
    <w:qFormat/>
    <w:rsid w:val="00B64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4B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4B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4B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4B38"/>
    <w:pPr>
      <w:spacing w:before="160"/>
      <w:jc w:val="center"/>
    </w:pPr>
    <w:rPr>
      <w:i/>
      <w:iCs/>
      <w:color w:val="404040" w:themeColor="text1" w:themeTint="BF"/>
    </w:rPr>
  </w:style>
  <w:style w:type="character" w:customStyle="1" w:styleId="CitationCar">
    <w:name w:val="Citation Car"/>
    <w:basedOn w:val="Policepardfaut"/>
    <w:link w:val="Citation"/>
    <w:uiPriority w:val="29"/>
    <w:rsid w:val="00B64B38"/>
    <w:rPr>
      <w:i/>
      <w:iCs/>
      <w:color w:val="404040" w:themeColor="text1" w:themeTint="BF"/>
    </w:rPr>
  </w:style>
  <w:style w:type="paragraph" w:styleId="Paragraphedeliste">
    <w:name w:val="List Paragraph"/>
    <w:basedOn w:val="Normal"/>
    <w:uiPriority w:val="34"/>
    <w:qFormat/>
    <w:rsid w:val="00B64B38"/>
    <w:pPr>
      <w:ind w:left="720"/>
      <w:contextualSpacing/>
    </w:pPr>
  </w:style>
  <w:style w:type="character" w:styleId="Accentuationintense">
    <w:name w:val="Intense Emphasis"/>
    <w:basedOn w:val="Policepardfaut"/>
    <w:uiPriority w:val="21"/>
    <w:qFormat/>
    <w:rsid w:val="00B64B38"/>
    <w:rPr>
      <w:i/>
      <w:iCs/>
      <w:color w:val="0F4761" w:themeColor="accent1" w:themeShade="BF"/>
    </w:rPr>
  </w:style>
  <w:style w:type="paragraph" w:styleId="Citationintense">
    <w:name w:val="Intense Quote"/>
    <w:basedOn w:val="Normal"/>
    <w:next w:val="Normal"/>
    <w:link w:val="CitationintenseCar"/>
    <w:uiPriority w:val="30"/>
    <w:qFormat/>
    <w:rsid w:val="00B64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4B38"/>
    <w:rPr>
      <w:i/>
      <w:iCs/>
      <w:color w:val="0F4761" w:themeColor="accent1" w:themeShade="BF"/>
    </w:rPr>
  </w:style>
  <w:style w:type="character" w:styleId="Rfrenceintense">
    <w:name w:val="Intense Reference"/>
    <w:basedOn w:val="Policepardfaut"/>
    <w:uiPriority w:val="32"/>
    <w:qFormat/>
    <w:rsid w:val="00B64B38"/>
    <w:rPr>
      <w:b/>
      <w:bCs/>
      <w:smallCaps/>
      <w:color w:val="0F4761" w:themeColor="accent1" w:themeShade="BF"/>
      <w:spacing w:val="5"/>
    </w:rPr>
  </w:style>
  <w:style w:type="numbering" w:customStyle="1" w:styleId="Listeactuelle1">
    <w:name w:val="Liste actuelle1"/>
    <w:uiPriority w:val="99"/>
    <w:rsid w:val="00E71A7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3061">
      <w:bodyDiv w:val="1"/>
      <w:marLeft w:val="0"/>
      <w:marRight w:val="0"/>
      <w:marTop w:val="0"/>
      <w:marBottom w:val="0"/>
      <w:divBdr>
        <w:top w:val="none" w:sz="0" w:space="0" w:color="auto"/>
        <w:left w:val="none" w:sz="0" w:space="0" w:color="auto"/>
        <w:bottom w:val="none" w:sz="0" w:space="0" w:color="auto"/>
        <w:right w:val="none" w:sz="0" w:space="0" w:color="auto"/>
      </w:divBdr>
    </w:div>
    <w:div w:id="1719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DP8612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8612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/sftpecos/Dossiers_parlementaires/8612/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6245E39-DB97-435B-AEDC-4C816A0749CD}"/>
</file>

<file path=customXml/itemProps2.xml><?xml version="1.0" encoding="utf-8"?>
<ds:datastoreItem xmlns:ds="http://schemas.openxmlformats.org/officeDocument/2006/customXml" ds:itemID="{52486547-2B62-48D6-82AE-042302663287}"/>
</file>

<file path=customXml/itemProps3.xml><?xml version="1.0" encoding="utf-8"?>
<ds:datastoreItem xmlns:ds="http://schemas.openxmlformats.org/officeDocument/2006/customXml" ds:itemID="{ED47AFA1-93E3-46D4-A257-8B35757D3583}"/>
</file>

<file path=docProps/app.xml><?xml version="1.0" encoding="utf-8"?>
<Properties xmlns="http://schemas.openxmlformats.org/officeDocument/2006/extended-properties" xmlns:vt="http://schemas.openxmlformats.org/officeDocument/2006/docPropsVTypes">
  <Template>Normal</Template>
  <TotalTime>41</TotalTime>
  <Pages>1</Pages>
  <Words>293</Words>
  <Characters>1616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20260119_Resume</dc:title>
  <dc:subject/>
  <dc:creator>Félix Schaack</dc:creator>
  <cp:keywords/>
  <dc:description/>
  <cp:lastModifiedBy>Cédric SCARPELLINI</cp:lastModifiedBy>
  <cp:revision>17</cp:revision>
  <dcterms:created xsi:type="dcterms:W3CDTF">2025-04-28T09:01:00Z</dcterms:created>
  <dcterms:modified xsi:type="dcterms:W3CDTF">2026-01-16T06:58:00Z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