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F4FA" w14:textId="77777777" w:rsidR="00E47FE9" w:rsidRPr="005F48A2" w:rsidRDefault="00E47FE9" w:rsidP="00E47FE9">
      <w:pPr>
        <w:tabs>
          <w:tab w:val="left" w:pos="4500"/>
        </w:tabs>
        <w:spacing w:after="0" w:line="240" w:lineRule="auto"/>
        <w:jc w:val="center"/>
        <w:rPr>
          <w:rFonts w:ascii="Arial" w:hAnsi="Arial" w:cs="Arial"/>
          <w:b/>
        </w:rPr>
      </w:pPr>
      <w:r w:rsidRPr="005F48A2">
        <w:rPr>
          <w:rFonts w:ascii="Arial" w:eastAsia="Times New Roman" w:hAnsi="Arial" w:cs="Arial"/>
          <w:b/>
          <w:bCs/>
          <w:lang w:eastAsia="fr-FR"/>
        </w:rPr>
        <w:t>N</w:t>
      </w:r>
      <w:r w:rsidRPr="005F48A2">
        <w:rPr>
          <w:rFonts w:ascii="Arial" w:eastAsia="Times New Roman" w:hAnsi="Arial" w:cs="Arial"/>
          <w:b/>
          <w:bCs/>
          <w:vertAlign w:val="superscript"/>
          <w:lang w:eastAsia="fr-FR"/>
        </w:rPr>
        <w:t xml:space="preserve">o </w:t>
      </w:r>
      <w:r w:rsidRPr="0049173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402</w:t>
      </w:r>
    </w:p>
    <w:p w14:paraId="2F32ECB8" w14:textId="77777777" w:rsidR="00E47FE9" w:rsidRPr="002C1F61" w:rsidRDefault="00E47FE9" w:rsidP="00E47FE9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4FB016C6" w14:textId="77777777" w:rsidR="00E47FE9" w:rsidRDefault="00E47FE9" w:rsidP="00E47FE9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14:paraId="2C64DE8F" w14:textId="77777777" w:rsidR="00E47FE9" w:rsidRPr="0073146E" w:rsidRDefault="00E47FE9" w:rsidP="00E47FE9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4BADD61" w14:textId="77777777" w:rsidR="00E47FE9" w:rsidRPr="00083219" w:rsidRDefault="00E47FE9" w:rsidP="00E47FE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FCBAC60" w14:textId="77777777" w:rsidR="00E47FE9" w:rsidRPr="00083219" w:rsidRDefault="00E47FE9" w:rsidP="00E47FE9">
      <w:pPr>
        <w:spacing w:after="0" w:line="240" w:lineRule="auto"/>
        <w:ind w:right="-108"/>
        <w:jc w:val="center"/>
        <w:rPr>
          <w:rFonts w:ascii="Arial" w:eastAsia="Times New Roman" w:hAnsi="Arial" w:cs="Arial"/>
          <w:lang w:eastAsia="fr-FR"/>
        </w:rPr>
      </w:pPr>
    </w:p>
    <w:p w14:paraId="43A0CC6C" w14:textId="77777777" w:rsidR="00E47FE9" w:rsidRDefault="00E47FE9" w:rsidP="00E47FE9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14:paraId="0ACF144B" w14:textId="77777777" w:rsidR="00E47FE9" w:rsidRPr="00811F8A" w:rsidRDefault="00E47FE9" w:rsidP="00E47FE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</w:p>
    <w:p w14:paraId="454A388B" w14:textId="77777777" w:rsidR="00E47FE9" w:rsidRDefault="00E47FE9" w:rsidP="00E47FE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fr-FR" w:eastAsia="fr-FR"/>
        </w:rPr>
      </w:pPr>
      <w:r w:rsidRPr="008647A1">
        <w:rPr>
          <w:rFonts w:ascii="Arial" w:eastAsia="Times New Roman" w:hAnsi="Arial" w:cs="Arial"/>
          <w:b/>
          <w:bCs/>
          <w:lang w:val="fr-FR" w:eastAsia="fr-FR"/>
        </w:rPr>
        <w:t>relative à l'adaptation du projet de construction du bâtiment Jean Monnet 2 de la Commission européenne à Luxembourg-Kirchberg</w:t>
      </w:r>
    </w:p>
    <w:p w14:paraId="71129F8D" w14:textId="77777777" w:rsidR="00E47FE9" w:rsidRPr="003705D9" w:rsidRDefault="00E47FE9" w:rsidP="00E47FE9">
      <w:pPr>
        <w:spacing w:after="0" w:line="240" w:lineRule="auto"/>
        <w:rPr>
          <w:rFonts w:ascii="Arial" w:eastAsia="Times New Roman" w:hAnsi="Arial" w:cs="Arial"/>
          <w:b/>
          <w:bCs/>
          <w:lang w:val="fr-FR" w:eastAsia="fr-FR"/>
        </w:rPr>
      </w:pPr>
    </w:p>
    <w:p w14:paraId="2ACAB0A1" w14:textId="3CFB2E40" w:rsidR="00E47FE9" w:rsidRPr="00B00E82" w:rsidRDefault="00E47FE9" w:rsidP="00E47FE9">
      <w:pPr>
        <w:spacing w:after="120" w:line="240" w:lineRule="auto"/>
        <w:jc w:val="center"/>
        <w:rPr>
          <w:rFonts w:ascii="Arial" w:hAnsi="Arial" w:cs="Arial"/>
        </w:rPr>
      </w:pPr>
      <w:r w:rsidRPr="00811F8A">
        <w:rPr>
          <w:rFonts w:ascii="Arial" w:eastAsia="Times New Roman" w:hAnsi="Arial" w:cs="Arial"/>
          <w:b/>
          <w:lang w:eastAsia="fr-FR"/>
        </w:rPr>
        <w:t>R</w:t>
      </w:r>
      <w:r>
        <w:rPr>
          <w:rFonts w:ascii="Arial" w:eastAsia="Times New Roman" w:hAnsi="Arial" w:cs="Arial"/>
          <w:b/>
          <w:lang w:eastAsia="fr-FR"/>
        </w:rPr>
        <w:t>ESUME</w:t>
      </w:r>
    </w:p>
    <w:p w14:paraId="577E4A8D" w14:textId="77777777" w:rsidR="00E47FE9" w:rsidRPr="006D7D79" w:rsidRDefault="00E47FE9" w:rsidP="00E47FE9">
      <w:pPr>
        <w:spacing w:after="0" w:line="240" w:lineRule="auto"/>
        <w:jc w:val="both"/>
        <w:rPr>
          <w:rFonts w:ascii="Arial" w:hAnsi="Arial" w:cs="Arial"/>
        </w:rPr>
      </w:pPr>
      <w:r w:rsidRPr="006D7D79">
        <w:rPr>
          <w:rFonts w:ascii="Arial" w:hAnsi="Arial" w:cs="Arial"/>
        </w:rPr>
        <w:t xml:space="preserve">Le projet de loi </w:t>
      </w:r>
      <w:r>
        <w:rPr>
          <w:rFonts w:ascii="Arial" w:hAnsi="Arial" w:cs="Arial"/>
          <w:lang w:val="fr-CH"/>
        </w:rPr>
        <w:t>8402</w:t>
      </w:r>
      <w:r w:rsidRPr="006D7D79">
        <w:rPr>
          <w:rFonts w:ascii="Arial" w:hAnsi="Arial" w:cs="Arial"/>
        </w:rPr>
        <w:t xml:space="preserve"> a pour objet d</w:t>
      </w:r>
      <w:r>
        <w:rPr>
          <w:rFonts w:ascii="Arial" w:hAnsi="Arial" w:cs="Arial"/>
        </w:rPr>
        <w:t>’augmenter de 351 000 000 euros le budget alloué à la construction du bâtiment Jean Monnet 2 de la Commission européenne à Luxembourg-Kirchberg et arrêté par la loi</w:t>
      </w:r>
      <w:r w:rsidRPr="006D7D79">
        <w:rPr>
          <w:rFonts w:ascii="Arial" w:hAnsi="Arial" w:cs="Arial"/>
        </w:rPr>
        <w:t xml:space="preserve"> </w:t>
      </w:r>
      <w:proofErr w:type="spellStart"/>
      <w:r w:rsidRPr="006D7D79">
        <w:rPr>
          <w:rFonts w:ascii="Arial" w:hAnsi="Arial" w:cs="Arial"/>
        </w:rPr>
        <w:t>modifiée</w:t>
      </w:r>
      <w:proofErr w:type="spellEnd"/>
      <w:r w:rsidRPr="006D7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 13 avril 1970 fixant les conditions suivant lesquelles </w:t>
      </w:r>
      <w:r w:rsidRPr="00D323D1">
        <w:rPr>
          <w:rFonts w:ascii="Arial" w:hAnsi="Arial" w:cs="Arial"/>
        </w:rPr>
        <w:t>le Gouvernement peut soit acquérir certains immeubles présentant un intérêt public, soit garantir le rendement et les charges locatifs de tels immeubles</w:t>
      </w:r>
      <w:r>
        <w:rPr>
          <w:rFonts w:ascii="Arial" w:hAnsi="Arial" w:cs="Arial"/>
        </w:rPr>
        <w:t xml:space="preserve">. </w:t>
      </w:r>
    </w:p>
    <w:p w14:paraId="22FEF0FF" w14:textId="77777777" w:rsidR="00E47FE9" w:rsidRDefault="00E47FE9" w:rsidP="00E47FE9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A7800EA" w14:textId="2E4319EB" w:rsidR="00E47FE9" w:rsidRDefault="00E47FE9" w:rsidP="00E47FE9">
      <w:pPr>
        <w:spacing w:after="0" w:line="240" w:lineRule="auto"/>
        <w:jc w:val="both"/>
        <w:rPr>
          <w:rFonts w:ascii="Arial" w:hAnsi="Arial" w:cs="Arial"/>
        </w:rPr>
      </w:pPr>
      <w:r w:rsidRPr="000433AB">
        <w:rPr>
          <w:rFonts w:ascii="Arial" w:hAnsi="Arial" w:cs="Arial"/>
        </w:rPr>
        <w:t xml:space="preserve">Depuis la conception de l’avant-projet en 2016 et l’adoption de la loi de financement le 6 décembre 2016, le programme de construction a subi d’importantes modifications et l’évolution du projet a été influencée par divers événements imprévisibles. </w:t>
      </w:r>
    </w:p>
    <w:p w14:paraId="4B564802" w14:textId="77777777" w:rsidR="00E47FE9" w:rsidRDefault="00E47FE9" w:rsidP="00E47FE9">
      <w:pPr>
        <w:spacing w:after="0"/>
        <w:jc w:val="both"/>
        <w:rPr>
          <w:rFonts w:ascii="Arial" w:hAnsi="Arial" w:cs="Arial"/>
          <w:b/>
          <w:bCs/>
        </w:rPr>
      </w:pPr>
    </w:p>
    <w:p w14:paraId="15F2F195" w14:textId="6622424C" w:rsidR="00E47FE9" w:rsidRDefault="00E47FE9" w:rsidP="00E47FE9">
      <w:pPr>
        <w:spacing w:after="0"/>
        <w:jc w:val="both"/>
        <w:rPr>
          <w:rFonts w:ascii="Arial" w:hAnsi="Arial" w:cs="Arial"/>
        </w:rPr>
      </w:pPr>
      <w:r w:rsidRPr="00B21F3C">
        <w:rPr>
          <w:rFonts w:ascii="Arial" w:hAnsi="Arial" w:cs="Arial"/>
        </w:rPr>
        <w:t>En 2017, la Commission européenne a</w:t>
      </w:r>
      <w:r>
        <w:rPr>
          <w:rFonts w:ascii="Arial" w:hAnsi="Arial" w:cs="Arial"/>
        </w:rPr>
        <w:t xml:space="preserve"> fait part d’un nouveau concept de sécurité dans le cadre du projet avec, notamment,</w:t>
      </w:r>
      <w:r w:rsidRPr="00B21F3C">
        <w:rPr>
          <w:rFonts w:ascii="Arial" w:hAnsi="Arial" w:cs="Arial"/>
        </w:rPr>
        <w:t xml:space="preserve"> une séparation </w:t>
      </w:r>
      <w:r>
        <w:rPr>
          <w:rFonts w:ascii="Arial" w:hAnsi="Arial" w:cs="Arial"/>
        </w:rPr>
        <w:t xml:space="preserve">des accès pour visiteurs et le personnel ainsi qu’un renforcement des mesures de sécurité aux entrées du parking du </w:t>
      </w:r>
      <w:r w:rsidRPr="00B21F3C">
        <w:rPr>
          <w:rFonts w:ascii="Arial" w:hAnsi="Arial" w:cs="Arial"/>
        </w:rPr>
        <w:t>personnel</w:t>
      </w:r>
      <w:r>
        <w:rPr>
          <w:rFonts w:ascii="Arial" w:hAnsi="Arial" w:cs="Arial"/>
        </w:rPr>
        <w:t xml:space="preserve">, du parking </w:t>
      </w:r>
      <w:r w:rsidRPr="00B21F3C">
        <w:rPr>
          <w:rFonts w:ascii="Arial" w:hAnsi="Arial" w:cs="Arial"/>
        </w:rPr>
        <w:t>visiteurs</w:t>
      </w:r>
      <w:r>
        <w:rPr>
          <w:rFonts w:ascii="Arial" w:hAnsi="Arial" w:cs="Arial"/>
        </w:rPr>
        <w:t xml:space="preserve"> et de la zone de livraison</w:t>
      </w:r>
      <w:r w:rsidRPr="00B21F3C">
        <w:rPr>
          <w:rFonts w:ascii="Arial" w:hAnsi="Arial" w:cs="Arial"/>
        </w:rPr>
        <w:t xml:space="preserve">. </w:t>
      </w:r>
    </w:p>
    <w:p w14:paraId="2D804E28" w14:textId="77777777" w:rsidR="00E47FE9" w:rsidRDefault="00E47FE9" w:rsidP="00E47FE9">
      <w:pPr>
        <w:spacing w:after="0"/>
        <w:jc w:val="both"/>
        <w:rPr>
          <w:rFonts w:ascii="Arial" w:hAnsi="Arial" w:cs="Arial"/>
        </w:rPr>
      </w:pPr>
    </w:p>
    <w:p w14:paraId="242AA5FD" w14:textId="77777777" w:rsidR="00E47FE9" w:rsidRDefault="00E47FE9" w:rsidP="00E47FE9">
      <w:pPr>
        <w:spacing w:after="0"/>
        <w:jc w:val="both"/>
        <w:rPr>
          <w:rFonts w:ascii="Arial" w:hAnsi="Arial" w:cs="Arial"/>
        </w:rPr>
      </w:pPr>
      <w:r w:rsidRPr="00B21F3C">
        <w:rPr>
          <w:rFonts w:ascii="Arial" w:hAnsi="Arial" w:cs="Arial"/>
        </w:rPr>
        <w:t xml:space="preserve">Un pavillon d'accueil de 3 750 m² a été ajouté pour les visiteurs, avec un accès sécurisé depuis le niveau -1, permettant une entrée contrôlée aux bâtiments via des passages souterrains. </w:t>
      </w:r>
    </w:p>
    <w:p w14:paraId="1A84378F" w14:textId="77777777" w:rsidR="00E47FE9" w:rsidRDefault="00E47FE9" w:rsidP="00E47FE9">
      <w:pPr>
        <w:spacing w:after="0"/>
        <w:jc w:val="both"/>
        <w:rPr>
          <w:rFonts w:ascii="Arial" w:hAnsi="Arial" w:cs="Arial"/>
        </w:rPr>
      </w:pPr>
    </w:p>
    <w:p w14:paraId="132EB1FB" w14:textId="3BE35016" w:rsidR="00E47FE9" w:rsidRDefault="00E47FE9" w:rsidP="00E47FE9">
      <w:pPr>
        <w:spacing w:after="0"/>
        <w:jc w:val="both"/>
        <w:rPr>
          <w:rFonts w:ascii="Arial" w:hAnsi="Arial" w:cs="Arial"/>
        </w:rPr>
      </w:pPr>
      <w:r w:rsidRPr="00B21F3C">
        <w:rPr>
          <w:rFonts w:ascii="Arial" w:hAnsi="Arial" w:cs="Arial"/>
        </w:rPr>
        <w:t>En 2023, une nouvelle approche</w:t>
      </w:r>
      <w:r>
        <w:rPr>
          <w:rFonts w:ascii="Arial" w:hAnsi="Arial" w:cs="Arial"/>
        </w:rPr>
        <w:t xml:space="preserve"> quant à l’aménagement des espaces de travail</w:t>
      </w:r>
      <w:r w:rsidRPr="00B21F3C">
        <w:rPr>
          <w:rFonts w:ascii="Arial" w:hAnsi="Arial" w:cs="Arial"/>
        </w:rPr>
        <w:t xml:space="preserve"> a transformé </w:t>
      </w:r>
      <w:r>
        <w:rPr>
          <w:rFonts w:ascii="Arial" w:hAnsi="Arial" w:cs="Arial"/>
        </w:rPr>
        <w:t>lesdits espaces</w:t>
      </w:r>
      <w:r w:rsidRPr="00B21F3C">
        <w:rPr>
          <w:rFonts w:ascii="Arial" w:hAnsi="Arial" w:cs="Arial"/>
        </w:rPr>
        <w:t xml:space="preserve"> en bureaux collectifs et flexibles, en phase avec les évolutions en matière de télétravail et d’économies d’énergie. </w:t>
      </w:r>
    </w:p>
    <w:p w14:paraId="7E9F9598" w14:textId="77777777" w:rsidR="00E47FE9" w:rsidRDefault="00E47FE9" w:rsidP="00E47FE9">
      <w:pPr>
        <w:spacing w:after="0"/>
        <w:jc w:val="both"/>
        <w:rPr>
          <w:rFonts w:ascii="Arial" w:hAnsi="Arial" w:cs="Arial"/>
        </w:rPr>
      </w:pPr>
    </w:p>
    <w:p w14:paraId="016EA036" w14:textId="5D541B13" w:rsidR="00E47FE9" w:rsidRDefault="00E47FE9" w:rsidP="00E47FE9">
      <w:pPr>
        <w:spacing w:after="0"/>
        <w:jc w:val="both"/>
        <w:rPr>
          <w:rFonts w:ascii="Arial" w:hAnsi="Arial" w:cs="Arial"/>
        </w:rPr>
      </w:pPr>
      <w:r w:rsidRPr="00B21F3C">
        <w:rPr>
          <w:rFonts w:ascii="Arial" w:hAnsi="Arial" w:cs="Arial"/>
        </w:rPr>
        <w:t>Ce réaménagement a permis de concentrer les services dans le bâtiment principal, libérant des étages dans le bâtiment tour pour une sous-location potentielle à d’autres institutions. Ces changements requièrent des études techniques supplémentaires pour adapter les installations de ventilation, d’éclairage et de cloisonnement, ainsi que des ajustements contractuels avec les entreprises</w:t>
      </w:r>
      <w:r>
        <w:rPr>
          <w:rFonts w:ascii="Arial" w:hAnsi="Arial" w:cs="Arial"/>
        </w:rPr>
        <w:t xml:space="preserve"> de construction</w:t>
      </w:r>
      <w:r w:rsidRPr="00B21F3C">
        <w:rPr>
          <w:rFonts w:ascii="Arial" w:hAnsi="Arial" w:cs="Arial"/>
        </w:rPr>
        <w:t>.</w:t>
      </w:r>
    </w:p>
    <w:p w14:paraId="33852BDA" w14:textId="77777777" w:rsidR="00E47FE9" w:rsidRPr="00472951" w:rsidRDefault="00E47FE9" w:rsidP="00E47FE9">
      <w:pPr>
        <w:pStyle w:val="Paragraphedeliste"/>
        <w:spacing w:after="0"/>
        <w:ind w:left="0"/>
        <w:jc w:val="both"/>
        <w:rPr>
          <w:rFonts w:ascii="Arial" w:hAnsi="Arial" w:cs="Arial"/>
        </w:rPr>
      </w:pPr>
    </w:p>
    <w:p w14:paraId="16F00A4D" w14:textId="77777777" w:rsidR="00E47FE9" w:rsidRPr="00472951" w:rsidRDefault="00E47FE9" w:rsidP="00E47FE9">
      <w:pPr>
        <w:spacing w:after="0"/>
        <w:jc w:val="both"/>
        <w:rPr>
          <w:rFonts w:ascii="Arial" w:hAnsi="Arial" w:cs="Arial"/>
        </w:rPr>
      </w:pPr>
      <w:r w:rsidRPr="00796396">
        <w:rPr>
          <w:rFonts w:ascii="Arial" w:hAnsi="Arial" w:cs="Arial"/>
        </w:rPr>
        <w:t>Les soumissions publiques entre fin 2022 et mi</w:t>
      </w:r>
      <w:r>
        <w:rPr>
          <w:rFonts w:ascii="Arial" w:hAnsi="Arial" w:cs="Arial"/>
        </w:rPr>
        <w:t xml:space="preserve"> </w:t>
      </w:r>
      <w:r w:rsidRPr="00796396">
        <w:rPr>
          <w:rFonts w:ascii="Arial" w:hAnsi="Arial" w:cs="Arial"/>
        </w:rPr>
        <w:t xml:space="preserve">2023 ont présenté des dépassements de prix significatifs par rapport aux devis initiaux, en raison de la forte hausse de l’indice des prix de la construction. </w:t>
      </w:r>
      <w:r w:rsidRPr="009535BD">
        <w:rPr>
          <w:rFonts w:ascii="Arial" w:hAnsi="Arial" w:cs="Arial"/>
        </w:rPr>
        <w:t xml:space="preserve">Des demandes de suppléments ont été introduits, nécessitant des ajustements financiers pour couvrir des prestations non prévues ou imprécises dans les dossiers. La pandémie liée au virus du Covid-19 et le conflit russo-ukrainien ont intensifié ces hausses : entre 2018 et 2023, les prix à la consommation ont augmenté de 18,87% et les prix de la construction de 43,4%. Ces hausses imprévisibles ont nécessité des révisions exceptionnelles des prix pour couvrir les coûts de matériaux </w:t>
      </w:r>
      <w:r w:rsidRPr="001D5BB3">
        <w:rPr>
          <w:rFonts w:ascii="Arial" w:hAnsi="Arial" w:cs="Arial"/>
        </w:rPr>
        <w:t>et de main-d'œuvre.</w:t>
      </w:r>
    </w:p>
    <w:p w14:paraId="5049D55B" w14:textId="77777777" w:rsidR="00E47FE9" w:rsidRDefault="00E47FE9" w:rsidP="00E47FE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B05DD5" w14:textId="76204D7E" w:rsidR="00E47FE9" w:rsidRDefault="00E47FE9" w:rsidP="00E47FE9">
      <w:pPr>
        <w:spacing w:after="0" w:line="240" w:lineRule="auto"/>
        <w:jc w:val="both"/>
        <w:rPr>
          <w:rFonts w:ascii="Arial" w:hAnsi="Arial" w:cs="Arial"/>
        </w:rPr>
      </w:pPr>
      <w:r w:rsidRPr="00C53EB7">
        <w:rPr>
          <w:rFonts w:ascii="Arial" w:hAnsi="Arial" w:cs="Arial"/>
        </w:rPr>
        <w:t xml:space="preserve">La pandémie </w:t>
      </w:r>
      <w:r>
        <w:rPr>
          <w:rFonts w:ascii="Arial" w:hAnsi="Arial" w:cs="Arial"/>
        </w:rPr>
        <w:t xml:space="preserve">liée au virus du </w:t>
      </w:r>
      <w:r w:rsidRPr="00C53EB7">
        <w:rPr>
          <w:rFonts w:ascii="Arial" w:hAnsi="Arial" w:cs="Arial"/>
        </w:rPr>
        <w:t xml:space="preserve">Covid-19 a fortement impacté les délais et le budget du projet en raison des hausses des prix des matériaux et des difficultés d’approvisionnement. Ces </w:t>
      </w:r>
      <w:r w:rsidRPr="00C53EB7">
        <w:rPr>
          <w:rFonts w:ascii="Arial" w:hAnsi="Arial" w:cs="Arial"/>
        </w:rPr>
        <w:lastRenderedPageBreak/>
        <w:t>perturbations ont entraîné des retards et une augmentation des coûts. En réponse, le Gouvernement a accordé des extensions de délais aux entreprises sans appliquer de pénalités.</w:t>
      </w:r>
    </w:p>
    <w:p w14:paraId="160C96EA" w14:textId="77777777" w:rsidR="00E47FE9" w:rsidRDefault="00E47FE9" w:rsidP="00E47FE9">
      <w:pPr>
        <w:spacing w:after="0" w:line="240" w:lineRule="auto"/>
        <w:jc w:val="both"/>
        <w:rPr>
          <w:rFonts w:ascii="Arial" w:hAnsi="Arial" w:cs="Arial"/>
        </w:rPr>
      </w:pPr>
    </w:p>
    <w:p w14:paraId="7C063D16" w14:textId="77777777" w:rsidR="00E47FE9" w:rsidRDefault="00E47FE9" w:rsidP="00E47F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À partir de</w:t>
      </w:r>
      <w:r w:rsidRPr="001126B8">
        <w:rPr>
          <w:rFonts w:ascii="Arial" w:hAnsi="Arial" w:cs="Arial"/>
        </w:rPr>
        <w:t xml:space="preserve"> février </w:t>
      </w:r>
      <w:r>
        <w:rPr>
          <w:rFonts w:ascii="Arial" w:hAnsi="Arial" w:cs="Arial"/>
        </w:rPr>
        <w:t>2</w:t>
      </w:r>
      <w:r w:rsidRPr="001126B8">
        <w:rPr>
          <w:rFonts w:ascii="Arial" w:hAnsi="Arial" w:cs="Arial"/>
        </w:rPr>
        <w:t>022, le secteur de la construction a</w:t>
      </w:r>
      <w:r>
        <w:rPr>
          <w:rFonts w:ascii="Arial" w:hAnsi="Arial" w:cs="Arial"/>
        </w:rPr>
        <w:t xml:space="preserve"> encore une fois </w:t>
      </w:r>
      <w:r w:rsidRPr="001126B8">
        <w:rPr>
          <w:rFonts w:ascii="Arial" w:hAnsi="Arial" w:cs="Arial"/>
        </w:rPr>
        <w:t>été confronté à des hausses exceptionnelles des prix des matériaux et à des difficultés d’approvisionnement,</w:t>
      </w:r>
      <w:r>
        <w:rPr>
          <w:rFonts w:ascii="Arial" w:hAnsi="Arial" w:cs="Arial"/>
        </w:rPr>
        <w:t xml:space="preserve"> accentuées par des évènements géopolitiques, notamment en relation avec le conflit</w:t>
      </w:r>
      <w:r w:rsidRPr="001126B8">
        <w:rPr>
          <w:rFonts w:ascii="Arial" w:hAnsi="Arial" w:cs="Arial"/>
        </w:rPr>
        <w:t xml:space="preserve"> russo-ukrainien. Ces perturbations ont</w:t>
      </w:r>
      <w:r>
        <w:rPr>
          <w:rFonts w:ascii="Arial" w:hAnsi="Arial" w:cs="Arial"/>
        </w:rPr>
        <w:t xml:space="preserve"> </w:t>
      </w:r>
      <w:r w:rsidRPr="001126B8">
        <w:rPr>
          <w:rFonts w:ascii="Arial" w:hAnsi="Arial" w:cs="Arial"/>
        </w:rPr>
        <w:t>impacté les délais d’exécution et augmenté le budget du projet.</w:t>
      </w:r>
    </w:p>
    <w:p w14:paraId="16626A08" w14:textId="77777777" w:rsidR="00E47FE9" w:rsidRDefault="00E47FE9" w:rsidP="00E47FE9">
      <w:pPr>
        <w:spacing w:after="0" w:line="240" w:lineRule="auto"/>
        <w:jc w:val="both"/>
        <w:rPr>
          <w:rFonts w:ascii="Arial" w:hAnsi="Arial" w:cs="Arial"/>
        </w:rPr>
      </w:pPr>
    </w:p>
    <w:p w14:paraId="588A8441" w14:textId="77777777" w:rsidR="00E47FE9" w:rsidRDefault="00E47FE9" w:rsidP="00E47F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F5CB4">
        <w:rPr>
          <w:rFonts w:ascii="Arial" w:hAnsi="Arial" w:cs="Arial"/>
        </w:rPr>
        <w:t xml:space="preserve">es prolongations de délais ont </w:t>
      </w:r>
      <w:r>
        <w:rPr>
          <w:rFonts w:ascii="Arial" w:hAnsi="Arial" w:cs="Arial"/>
        </w:rPr>
        <w:t xml:space="preserve">également </w:t>
      </w:r>
      <w:r w:rsidRPr="001F5CB4">
        <w:rPr>
          <w:rFonts w:ascii="Arial" w:hAnsi="Arial" w:cs="Arial"/>
        </w:rPr>
        <w:t>été causées par des prestations insuffisantes des bureaux d’études</w:t>
      </w:r>
      <w:r>
        <w:rPr>
          <w:rFonts w:ascii="Arial" w:hAnsi="Arial" w:cs="Arial"/>
        </w:rPr>
        <w:t xml:space="preserve"> chargés du projet</w:t>
      </w:r>
      <w:r w:rsidRPr="001F5CB4">
        <w:rPr>
          <w:rFonts w:ascii="Arial" w:hAnsi="Arial" w:cs="Arial"/>
        </w:rPr>
        <w:t>, qui n’ont pa</w:t>
      </w:r>
      <w:r>
        <w:rPr>
          <w:rFonts w:ascii="Arial" w:hAnsi="Arial" w:cs="Arial"/>
        </w:rPr>
        <w:t xml:space="preserve">s </w:t>
      </w:r>
      <w:r w:rsidRPr="001F5CB4">
        <w:rPr>
          <w:rFonts w:ascii="Arial" w:hAnsi="Arial" w:cs="Arial"/>
        </w:rPr>
        <w:t xml:space="preserve">respecté les </w:t>
      </w:r>
      <w:r w:rsidRPr="009535BD">
        <w:rPr>
          <w:rFonts w:ascii="Arial" w:hAnsi="Arial" w:cs="Arial"/>
        </w:rPr>
        <w:t xml:space="preserve">délais convenus concernant la préparation des dossiers de soumission ainsi que la mise à </w:t>
      </w:r>
      <w:r>
        <w:rPr>
          <w:rFonts w:ascii="Arial" w:hAnsi="Arial" w:cs="Arial"/>
        </w:rPr>
        <w:t>disposition</w:t>
      </w:r>
      <w:r w:rsidRPr="001F5CB4">
        <w:rPr>
          <w:rFonts w:ascii="Arial" w:hAnsi="Arial" w:cs="Arial"/>
        </w:rPr>
        <w:t xml:space="preserve"> des plans. De plus, la mise au point des études techniques a pris du retard. Depuis le concours de 2010, le bureau d’études technique a été remplacé deux fois en raison de difficultés</w:t>
      </w:r>
      <w:r>
        <w:rPr>
          <w:rFonts w:ascii="Arial" w:hAnsi="Arial" w:cs="Arial"/>
        </w:rPr>
        <w:t xml:space="preserve"> rencontrées en phase de réalisation des prestations respectives</w:t>
      </w:r>
      <w:r w:rsidRPr="001F5CB4">
        <w:rPr>
          <w:rFonts w:ascii="Arial" w:hAnsi="Arial" w:cs="Arial"/>
        </w:rPr>
        <w:t>, ce qui a eu un impact négatif sur la qualité des études.</w:t>
      </w:r>
    </w:p>
    <w:p w14:paraId="5500992A" w14:textId="77777777" w:rsidR="00E47FE9" w:rsidRDefault="00E47FE9" w:rsidP="00E47FE9">
      <w:pPr>
        <w:spacing w:after="0" w:line="240" w:lineRule="auto"/>
        <w:jc w:val="both"/>
        <w:rPr>
          <w:rFonts w:ascii="Arial" w:hAnsi="Arial" w:cs="Arial"/>
        </w:rPr>
      </w:pPr>
    </w:p>
    <w:p w14:paraId="1300BB26" w14:textId="77777777" w:rsidR="00E47FE9" w:rsidRPr="00ED2ECD" w:rsidRDefault="00E47FE9" w:rsidP="00E47FE9">
      <w:pPr>
        <w:spacing w:after="0" w:line="240" w:lineRule="auto"/>
        <w:jc w:val="both"/>
        <w:rPr>
          <w:rFonts w:ascii="Arial" w:hAnsi="Arial" w:cs="Arial"/>
        </w:rPr>
      </w:pPr>
      <w:r w:rsidRPr="00ED2ECD">
        <w:rPr>
          <w:rFonts w:ascii="Arial" w:hAnsi="Arial" w:cs="Arial"/>
        </w:rPr>
        <w:t xml:space="preserve">Des retards des entreprises de construction ont également </w:t>
      </w:r>
      <w:r>
        <w:rPr>
          <w:rFonts w:ascii="Arial" w:hAnsi="Arial" w:cs="Arial"/>
        </w:rPr>
        <w:t>pu être</w:t>
      </w:r>
      <w:r w:rsidRPr="00ED2ECD">
        <w:rPr>
          <w:rFonts w:ascii="Arial" w:hAnsi="Arial" w:cs="Arial"/>
        </w:rPr>
        <w:t xml:space="preserve"> constatés concernant l’avancement des travaux. En effet, les travaux de gros œuvre n’ont pas avancé comme prévu.</w:t>
      </w:r>
    </w:p>
    <w:p w14:paraId="1E1860F2" w14:textId="77777777" w:rsidR="00E47FE9" w:rsidRDefault="00E47FE9" w:rsidP="00E47FE9">
      <w:pPr>
        <w:spacing w:after="0" w:line="240" w:lineRule="auto"/>
        <w:jc w:val="both"/>
        <w:rPr>
          <w:rFonts w:ascii="Arial" w:hAnsi="Arial" w:cs="Arial"/>
        </w:rPr>
      </w:pPr>
    </w:p>
    <w:p w14:paraId="284BE9F9" w14:textId="77777777" w:rsidR="00E47FE9" w:rsidRPr="00336FCF" w:rsidRDefault="00E47FE9" w:rsidP="00E47FE9">
      <w:pPr>
        <w:spacing w:after="0" w:line="240" w:lineRule="auto"/>
        <w:jc w:val="both"/>
        <w:rPr>
          <w:rFonts w:ascii="Arial" w:hAnsi="Arial" w:cs="Arial"/>
        </w:rPr>
      </w:pPr>
      <w:r w:rsidRPr="00336FCF">
        <w:rPr>
          <w:rFonts w:ascii="Arial" w:hAnsi="Arial" w:cs="Arial"/>
        </w:rPr>
        <w:t>Par ailleurs, sept soumissions publiques doivent être annulées</w:t>
      </w:r>
      <w:r>
        <w:rPr>
          <w:rFonts w:ascii="Arial" w:hAnsi="Arial" w:cs="Arial"/>
        </w:rPr>
        <w:t>,</w:t>
      </w:r>
      <w:r w:rsidRPr="00336FCF">
        <w:rPr>
          <w:rFonts w:ascii="Arial" w:hAnsi="Arial" w:cs="Arial"/>
        </w:rPr>
        <w:t xml:space="preserve"> étant donné qu’aucune offre n’est</w:t>
      </w:r>
      <w:r>
        <w:rPr>
          <w:rFonts w:ascii="Arial" w:hAnsi="Arial" w:cs="Arial"/>
        </w:rPr>
        <w:t xml:space="preserve"> </w:t>
      </w:r>
      <w:r w:rsidRPr="00336FCF">
        <w:rPr>
          <w:rFonts w:ascii="Arial" w:hAnsi="Arial" w:cs="Arial"/>
        </w:rPr>
        <w:t>remise ou que les offres s’avèrent administrativement ou techniquement non-conformes. Il s’agit principalement de marchés liés aux travaux de parachèvement. Ces annulations perturbent le planning</w:t>
      </w:r>
      <w:r>
        <w:rPr>
          <w:rFonts w:ascii="Arial" w:hAnsi="Arial" w:cs="Arial"/>
        </w:rPr>
        <w:t xml:space="preserve"> </w:t>
      </w:r>
      <w:r w:rsidRPr="00336FCF">
        <w:rPr>
          <w:rFonts w:ascii="Arial" w:hAnsi="Arial" w:cs="Arial"/>
        </w:rPr>
        <w:t>initial du projet</w:t>
      </w:r>
      <w:r>
        <w:rPr>
          <w:rFonts w:ascii="Arial" w:hAnsi="Arial" w:cs="Arial"/>
        </w:rPr>
        <w:t>,</w:t>
      </w:r>
      <w:r w:rsidRPr="00336FCF">
        <w:rPr>
          <w:rFonts w:ascii="Arial" w:hAnsi="Arial" w:cs="Arial"/>
        </w:rPr>
        <w:t xml:space="preserve"> ainsi que la coordination des entreprises et l’organisation du chantier.</w:t>
      </w:r>
    </w:p>
    <w:p w14:paraId="035BC8EE" w14:textId="77777777" w:rsidR="00E47FE9" w:rsidRDefault="00E47FE9" w:rsidP="00E47FE9">
      <w:pPr>
        <w:spacing w:after="0" w:line="240" w:lineRule="auto"/>
        <w:jc w:val="both"/>
        <w:rPr>
          <w:rFonts w:ascii="Arial" w:hAnsi="Arial" w:cs="Arial"/>
        </w:rPr>
      </w:pPr>
    </w:p>
    <w:p w14:paraId="73381345" w14:textId="77777777" w:rsidR="00E47FE9" w:rsidRPr="00F277ED" w:rsidRDefault="00E47FE9" w:rsidP="00E47FE9">
      <w:pPr>
        <w:spacing w:after="0" w:line="240" w:lineRule="auto"/>
        <w:jc w:val="both"/>
        <w:rPr>
          <w:rFonts w:ascii="Arial" w:hAnsi="Arial" w:cs="Arial"/>
        </w:rPr>
      </w:pPr>
      <w:r w:rsidRPr="00F277ED">
        <w:rPr>
          <w:rFonts w:ascii="Arial" w:hAnsi="Arial" w:cs="Arial"/>
        </w:rPr>
        <w:t>En raison des complications du projet, les contrats des différents intervenants (maîtrise d’œuvre, experts, organismes de contrôle</w:t>
      </w:r>
      <w:r>
        <w:rPr>
          <w:rFonts w:ascii="Arial" w:hAnsi="Arial" w:cs="Arial"/>
        </w:rPr>
        <w:t>s</w:t>
      </w:r>
      <w:r w:rsidRPr="00F277ED">
        <w:rPr>
          <w:rFonts w:ascii="Arial" w:hAnsi="Arial" w:cs="Arial"/>
        </w:rPr>
        <w:t xml:space="preserve">, entreprises) ont dû être adaptés et prolongés, entraînant des coûts supplémentaires importants. Les retards accumulés rendent les négociations contractuelles complexes, avec des </w:t>
      </w:r>
      <w:r>
        <w:rPr>
          <w:rFonts w:ascii="Arial" w:hAnsi="Arial" w:cs="Arial"/>
        </w:rPr>
        <w:t>répercussions</w:t>
      </w:r>
      <w:r w:rsidRPr="00F277ED">
        <w:rPr>
          <w:rFonts w:ascii="Arial" w:hAnsi="Arial" w:cs="Arial"/>
        </w:rPr>
        <w:t xml:space="preserve"> négati</w:t>
      </w:r>
      <w:r>
        <w:rPr>
          <w:rFonts w:ascii="Arial" w:hAnsi="Arial" w:cs="Arial"/>
        </w:rPr>
        <w:t>ves</w:t>
      </w:r>
      <w:r w:rsidRPr="00F277ED">
        <w:rPr>
          <w:rFonts w:ascii="Arial" w:hAnsi="Arial" w:cs="Arial"/>
        </w:rPr>
        <w:t xml:space="preserve"> sur les délais et le budget.</w:t>
      </w:r>
    </w:p>
    <w:p w14:paraId="494842D7" w14:textId="77777777" w:rsidR="00E47FE9" w:rsidRPr="00BF7DB3" w:rsidRDefault="00E47FE9" w:rsidP="00E47FE9">
      <w:pPr>
        <w:spacing w:after="0" w:line="240" w:lineRule="auto"/>
        <w:jc w:val="both"/>
        <w:rPr>
          <w:rFonts w:ascii="Arial" w:hAnsi="Arial" w:cs="Arial"/>
        </w:rPr>
      </w:pPr>
    </w:p>
    <w:p w14:paraId="65F2DB29" w14:textId="77777777" w:rsidR="00E47FE9" w:rsidRDefault="00E47FE9" w:rsidP="00E47FE9">
      <w:pPr>
        <w:spacing w:after="0"/>
      </w:pPr>
    </w:p>
    <w:sectPr w:rsidR="00E47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94883"/>
    <w:multiLevelType w:val="hybridMultilevel"/>
    <w:tmpl w:val="1F348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56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E9"/>
    <w:rsid w:val="003675A7"/>
    <w:rsid w:val="005C63E5"/>
    <w:rsid w:val="00AA1BEF"/>
    <w:rsid w:val="00E4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AABE"/>
  <w15:chartTrackingRefBased/>
  <w15:docId w15:val="{B6B5BB43-E799-4A37-898E-F08C5B0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E9"/>
    <w:pPr>
      <w:suppressAutoHyphens/>
      <w:spacing w:line="252" w:lineRule="auto"/>
    </w:pPr>
    <w:rPr>
      <w:rFonts w:ascii="Calibri" w:eastAsia="Calibri" w:hAnsi="Calibri" w:cs="Calibri"/>
      <w:kern w:val="0"/>
      <w:sz w:val="22"/>
      <w:szCs w:val="22"/>
      <w:lang w:val="fr-LU"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47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7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7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7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7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7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7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7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7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7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7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7F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7F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7F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7F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7F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7F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7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7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7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7F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7F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7F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7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7F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7FE9"/>
    <w:rPr>
      <w:b/>
      <w:bCs/>
      <w:smallCaps/>
      <w:color w:val="0F4761" w:themeColor="accent1" w:themeShade="BF"/>
      <w:spacing w:val="5"/>
    </w:rPr>
  </w:style>
  <w:style w:type="paragraph" w:customStyle="1" w:styleId="Sansinterligne1">
    <w:name w:val="Sans interligne1"/>
    <w:rsid w:val="00E47F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L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DP8402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8402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/sftpecos/Dossiers_parlementaires/8402/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BEC2AFA-BDEA-4791-85F2-C354AC1E583C}"/>
</file>

<file path=customXml/itemProps2.xml><?xml version="1.0" encoding="utf-8"?>
<ds:datastoreItem xmlns:ds="http://schemas.openxmlformats.org/officeDocument/2006/customXml" ds:itemID="{170E92FC-DC89-46A1-AD12-4073A817561E}"/>
</file>

<file path=customXml/itemProps3.xml><?xml version="1.0" encoding="utf-8"?>
<ds:datastoreItem xmlns:ds="http://schemas.openxmlformats.org/officeDocument/2006/customXml" ds:itemID="{1B187E8A-1B92-4E14-B2C1-02D4613754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4169</Characters>
  <Application>Microsoft Office Word</Application>
  <DocSecurity>4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Magda SANTOS</cp:lastModifiedBy>
  <cp:revision>2</cp:revision>
  <dcterms:created xsi:type="dcterms:W3CDTF">2024-11-21T13:17:00Z</dcterms:created>
  <dcterms:modified xsi:type="dcterms:W3CDTF">2024-11-21T13:17:00Z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