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EA83" w14:textId="77777777" w:rsidR="00A0723D" w:rsidRPr="00A0723D" w:rsidRDefault="00A0723D" w:rsidP="00142932">
      <w:pPr>
        <w:spacing w:after="0" w:line="240" w:lineRule="auto"/>
        <w:jc w:val="center"/>
        <w:rPr>
          <w:rFonts w:ascii="Arial" w:hAnsi="Arial" w:cs="Arial"/>
          <w:b/>
          <w:lang w:val="fr-FR"/>
        </w:rPr>
      </w:pPr>
      <w:bookmarkStart w:id="0" w:name="_Hlk164864130"/>
      <w:r w:rsidRPr="00A0723D">
        <w:rPr>
          <w:rFonts w:ascii="Arial" w:hAnsi="Arial" w:cs="Arial"/>
          <w:b/>
          <w:lang w:val="fr-FR"/>
        </w:rPr>
        <w:t>Projet de loi portant :</w:t>
      </w:r>
    </w:p>
    <w:p w14:paraId="1BA55079" w14:textId="77777777" w:rsidR="00A0723D" w:rsidRPr="00A0723D" w:rsidRDefault="00A0723D" w:rsidP="00142932">
      <w:pPr>
        <w:spacing w:after="0" w:line="240" w:lineRule="auto"/>
        <w:ind w:left="284" w:hanging="284"/>
        <w:jc w:val="both"/>
        <w:rPr>
          <w:rFonts w:ascii="Arial" w:hAnsi="Arial" w:cs="Arial"/>
          <w:b/>
          <w:lang w:val="fr-FR"/>
        </w:rPr>
      </w:pPr>
      <w:bookmarkStart w:id="1" w:name="_Hlk164864074"/>
      <w:bookmarkEnd w:id="0"/>
      <w:r w:rsidRPr="00A0723D">
        <w:rPr>
          <w:rFonts w:ascii="Arial" w:hAnsi="Arial" w:cs="Arial"/>
          <w:b/>
          <w:lang w:val="fr-FR"/>
        </w:rPr>
        <w:t>1° mise en œuvre du règlement (UE) 2023/606 du Parlement européen et du Conseil du 15 mars 2023 modifiant le règlement (UE) 2015/760 en ce qui concerne les exigences relatives aux politiques d’investissement et aux conditions de fonctionnement des fonds européens d’investissement à long terme et la définition des actifs éligibles à l’investissement, les obligations en matière de composition et de diversification du portefeuille et l’emprunt de liquidités et d’autres dispositions des statuts des fonds ;</w:t>
      </w:r>
    </w:p>
    <w:p w14:paraId="300D043B" w14:textId="77777777" w:rsidR="00A0723D" w:rsidRPr="00A0723D" w:rsidRDefault="00A0723D" w:rsidP="00142932">
      <w:pPr>
        <w:spacing w:after="0" w:line="240" w:lineRule="auto"/>
        <w:ind w:left="284" w:hanging="284"/>
        <w:jc w:val="both"/>
        <w:rPr>
          <w:rFonts w:ascii="Arial" w:hAnsi="Arial" w:cs="Arial"/>
          <w:b/>
          <w:iCs/>
          <w:lang w:val="fr-FR"/>
        </w:rPr>
      </w:pPr>
      <w:r w:rsidRPr="00A0723D">
        <w:rPr>
          <w:rFonts w:ascii="Arial" w:hAnsi="Arial" w:cs="Arial"/>
          <w:b/>
          <w:lang w:val="fr-FR"/>
        </w:rPr>
        <w:t xml:space="preserve">2° mise en œuvre du </w:t>
      </w:r>
      <w:r w:rsidRPr="00A0723D">
        <w:rPr>
          <w:rFonts w:ascii="Arial" w:hAnsi="Arial" w:cs="Arial"/>
          <w:b/>
          <w:iCs/>
          <w:lang w:val="fr-FR"/>
        </w:rPr>
        <w:t xml:space="preserve">règlement (UE) 2023/1114 du Parlement européen et du Conseil du 31 mai 2023 sur les marchés de </w:t>
      </w:r>
      <w:proofErr w:type="spellStart"/>
      <w:r w:rsidRPr="00A0723D">
        <w:rPr>
          <w:rFonts w:ascii="Arial" w:hAnsi="Arial" w:cs="Arial"/>
          <w:b/>
          <w:iCs/>
          <w:lang w:val="fr-FR"/>
        </w:rPr>
        <w:t>crypto-actifs</w:t>
      </w:r>
      <w:proofErr w:type="spellEnd"/>
      <w:r w:rsidRPr="00A0723D">
        <w:rPr>
          <w:rFonts w:ascii="Arial" w:hAnsi="Arial" w:cs="Arial"/>
          <w:b/>
          <w:iCs/>
          <w:lang w:val="fr-FR"/>
        </w:rPr>
        <w:t>, et modifiant les règlements (UE) n°1093/2010 et (UE) n°1095/2010 et les directives 2013/36/UE et (UE) 2019/1937 ;</w:t>
      </w:r>
    </w:p>
    <w:p w14:paraId="7E680FD7" w14:textId="77777777" w:rsidR="00A0723D" w:rsidRPr="00A0723D" w:rsidRDefault="00A0723D" w:rsidP="00142932">
      <w:pPr>
        <w:spacing w:after="0" w:line="240" w:lineRule="auto"/>
        <w:ind w:left="284" w:hanging="284"/>
        <w:jc w:val="both"/>
        <w:rPr>
          <w:rFonts w:ascii="Arial" w:hAnsi="Arial" w:cs="Arial"/>
          <w:b/>
          <w:iCs/>
          <w:lang w:val="fr-FR"/>
        </w:rPr>
      </w:pPr>
      <w:r w:rsidRPr="00A0723D">
        <w:rPr>
          <w:rFonts w:ascii="Arial" w:hAnsi="Arial" w:cs="Arial"/>
          <w:b/>
          <w:iCs/>
          <w:lang w:val="fr-FR"/>
        </w:rPr>
        <w:t xml:space="preserve">3° mise en œuvre du règlement (UE) 2023/1113 du Parlement européen et du Conseil du 31 mai 2023 sur les informations accompagnant les transferts de fonds et de certains </w:t>
      </w:r>
      <w:proofErr w:type="spellStart"/>
      <w:r w:rsidRPr="00A0723D">
        <w:rPr>
          <w:rFonts w:ascii="Arial" w:hAnsi="Arial" w:cs="Arial"/>
          <w:b/>
          <w:iCs/>
          <w:lang w:val="fr-FR"/>
        </w:rPr>
        <w:t>crypto-actifs</w:t>
      </w:r>
      <w:proofErr w:type="spellEnd"/>
      <w:r w:rsidRPr="00A0723D">
        <w:rPr>
          <w:rFonts w:ascii="Arial" w:hAnsi="Arial" w:cs="Arial"/>
          <w:b/>
          <w:iCs/>
          <w:lang w:val="fr-FR"/>
        </w:rPr>
        <w:t>, et modifiant la directive (UE) 2015/849 ;</w:t>
      </w:r>
    </w:p>
    <w:p w14:paraId="7934A516" w14:textId="77777777" w:rsidR="00A0723D" w:rsidRPr="00A0723D" w:rsidRDefault="00A0723D" w:rsidP="00142932">
      <w:pPr>
        <w:spacing w:after="0" w:line="240" w:lineRule="auto"/>
        <w:ind w:left="284" w:hanging="284"/>
        <w:jc w:val="both"/>
        <w:rPr>
          <w:rFonts w:ascii="Arial" w:hAnsi="Arial" w:cs="Arial"/>
          <w:b/>
          <w:iCs/>
          <w:lang w:val="fr-FR"/>
        </w:rPr>
      </w:pPr>
      <w:r w:rsidRPr="00A0723D">
        <w:rPr>
          <w:rFonts w:ascii="Arial" w:hAnsi="Arial" w:cs="Arial"/>
          <w:b/>
          <w:iCs/>
          <w:lang w:val="fr-FR"/>
        </w:rPr>
        <w:t xml:space="preserve">4° transposition de l’article 38 du règlement (UE) 2023/1113 du Parlement européen et du Conseil du 31 mai 2023 sur les informations accompagnant les transferts de fonds et de certains </w:t>
      </w:r>
      <w:proofErr w:type="spellStart"/>
      <w:r w:rsidRPr="00A0723D">
        <w:rPr>
          <w:rFonts w:ascii="Arial" w:hAnsi="Arial" w:cs="Arial"/>
          <w:b/>
          <w:iCs/>
          <w:lang w:val="fr-FR"/>
        </w:rPr>
        <w:t>crypto-actifs</w:t>
      </w:r>
      <w:proofErr w:type="spellEnd"/>
      <w:r w:rsidRPr="00A0723D">
        <w:rPr>
          <w:rFonts w:ascii="Arial" w:hAnsi="Arial" w:cs="Arial"/>
          <w:b/>
          <w:iCs/>
          <w:lang w:val="fr-FR"/>
        </w:rPr>
        <w:t xml:space="preserve">, et modifiant la directive (UE) 2015/849 ; </w:t>
      </w:r>
    </w:p>
    <w:p w14:paraId="73AE321A" w14:textId="77777777" w:rsidR="00A0723D" w:rsidRPr="00A0723D" w:rsidRDefault="00A0723D" w:rsidP="00142932">
      <w:pPr>
        <w:spacing w:after="0" w:line="240" w:lineRule="auto"/>
        <w:ind w:left="284" w:hanging="284"/>
        <w:jc w:val="both"/>
        <w:rPr>
          <w:rFonts w:ascii="Arial" w:hAnsi="Arial" w:cs="Arial"/>
          <w:b/>
          <w:iCs/>
          <w:lang w:val="fr-FR"/>
        </w:rPr>
      </w:pPr>
      <w:r w:rsidRPr="00A0723D">
        <w:rPr>
          <w:rFonts w:ascii="Arial" w:hAnsi="Arial" w:cs="Arial"/>
          <w:b/>
          <w:iCs/>
          <w:lang w:val="fr-FR"/>
        </w:rPr>
        <w:t>5° mise en œuvre du règlement (UE) 2023/2631 du Parlement européen et du Conseil du 22 novembre 2023 sur les obligations vertes européennes et la publication facultative d’informations pour les obligations commercialisées en tant qu’obligations durables sur le plan environnemental et pour les obligations liées à la durabilité ; </w:t>
      </w:r>
    </w:p>
    <w:p w14:paraId="7CC50C0C" w14:textId="77777777" w:rsidR="00A0723D" w:rsidRPr="00A0723D" w:rsidRDefault="00A0723D" w:rsidP="00142932">
      <w:pPr>
        <w:spacing w:after="0" w:line="240" w:lineRule="auto"/>
        <w:rPr>
          <w:rFonts w:ascii="Arial" w:hAnsi="Arial" w:cs="Arial"/>
          <w:b/>
          <w:lang w:val="en-GB"/>
        </w:rPr>
      </w:pPr>
      <w:r w:rsidRPr="00A0723D">
        <w:rPr>
          <w:rFonts w:ascii="Arial" w:hAnsi="Arial" w:cs="Arial"/>
          <w:b/>
          <w:lang w:val="en-GB"/>
        </w:rPr>
        <w:t>6° modification de:</w:t>
      </w:r>
    </w:p>
    <w:p w14:paraId="2E6C2B43" w14:textId="77777777" w:rsidR="00A0723D" w:rsidRPr="00A0723D" w:rsidRDefault="00A0723D" w:rsidP="00142932">
      <w:pPr>
        <w:numPr>
          <w:ilvl w:val="0"/>
          <w:numId w:val="21"/>
        </w:numPr>
        <w:spacing w:after="0" w:line="240" w:lineRule="auto"/>
        <w:contextualSpacing/>
        <w:jc w:val="both"/>
        <w:rPr>
          <w:rFonts w:ascii="Arial" w:hAnsi="Arial" w:cs="Arial"/>
          <w:b/>
          <w:iCs/>
          <w:lang w:val="fr-FR"/>
        </w:rPr>
      </w:pPr>
      <w:r w:rsidRPr="00A0723D">
        <w:rPr>
          <w:rFonts w:ascii="Arial" w:hAnsi="Arial" w:cs="Arial"/>
          <w:b/>
          <w:lang w:val="fr-FR"/>
        </w:rPr>
        <w:t>la loi modifiée du 16 juillet 2019 relative à l’opérationnalisation de règlements européens dans le domaine des services financiers ;</w:t>
      </w:r>
    </w:p>
    <w:p w14:paraId="06C46968" w14:textId="77777777" w:rsidR="00A0723D" w:rsidRPr="00A0723D" w:rsidRDefault="00A0723D" w:rsidP="00142932">
      <w:pPr>
        <w:spacing w:after="0" w:line="240" w:lineRule="auto"/>
        <w:ind w:left="426"/>
        <w:contextualSpacing/>
        <w:rPr>
          <w:rFonts w:ascii="Arial" w:hAnsi="Arial" w:cs="Arial"/>
          <w:b/>
          <w:iCs/>
          <w:lang w:val="fr-FR"/>
        </w:rPr>
      </w:pPr>
      <w:r w:rsidRPr="00A0723D">
        <w:rPr>
          <w:rFonts w:ascii="Arial" w:hAnsi="Arial" w:cs="Arial"/>
          <w:b/>
          <w:lang w:val="fr-FR"/>
        </w:rPr>
        <w:t>b) la loi modifiée du 5 avril 1993 relative au secteur financier ;</w:t>
      </w:r>
    </w:p>
    <w:p w14:paraId="380C79DF" w14:textId="77777777" w:rsidR="00A0723D" w:rsidRPr="00A0723D" w:rsidRDefault="00A0723D" w:rsidP="00142932">
      <w:pPr>
        <w:spacing w:after="0" w:line="240" w:lineRule="auto"/>
        <w:ind w:left="709" w:hanging="283"/>
        <w:contextualSpacing/>
        <w:rPr>
          <w:rFonts w:ascii="Arial" w:hAnsi="Arial" w:cs="Arial"/>
          <w:b/>
          <w:iCs/>
          <w:lang w:val="fr-FR"/>
        </w:rPr>
      </w:pPr>
      <w:r w:rsidRPr="00A0723D">
        <w:rPr>
          <w:rFonts w:ascii="Arial" w:hAnsi="Arial" w:cs="Arial"/>
          <w:b/>
          <w:lang w:val="fr-FR"/>
        </w:rPr>
        <w:t>c) la loi modifiée du 23 décembre 1998 portant création d’une commission de surveillance du secteur financier ;</w:t>
      </w:r>
    </w:p>
    <w:p w14:paraId="51AC379A" w14:textId="77777777" w:rsidR="00A0723D" w:rsidRPr="00A0723D" w:rsidRDefault="00A0723D" w:rsidP="00142932">
      <w:pPr>
        <w:spacing w:after="0" w:line="240" w:lineRule="auto"/>
        <w:ind w:left="709" w:hanging="283"/>
        <w:contextualSpacing/>
        <w:rPr>
          <w:rFonts w:ascii="Arial" w:hAnsi="Arial" w:cs="Arial"/>
          <w:b/>
          <w:iCs/>
          <w:lang w:val="fr-FR"/>
        </w:rPr>
      </w:pPr>
      <w:r w:rsidRPr="00A0723D">
        <w:rPr>
          <w:rFonts w:ascii="Arial" w:hAnsi="Arial" w:cs="Arial"/>
          <w:b/>
          <w:lang w:val="fr-FR"/>
        </w:rPr>
        <w:t>d) la loi modifiée du 12 novembre 2004 relative à la lutte contre le blanchiment et contre le financement du terrorisme ;</w:t>
      </w:r>
    </w:p>
    <w:p w14:paraId="56DDF5BF" w14:textId="77777777" w:rsidR="00A0723D" w:rsidRPr="00A0723D" w:rsidRDefault="00A0723D" w:rsidP="00142932">
      <w:pPr>
        <w:spacing w:after="0" w:line="240" w:lineRule="auto"/>
        <w:ind w:left="426"/>
        <w:contextualSpacing/>
        <w:rPr>
          <w:rFonts w:ascii="Arial" w:hAnsi="Arial" w:cs="Arial"/>
          <w:b/>
          <w:iCs/>
          <w:lang w:val="fr-FR"/>
        </w:rPr>
      </w:pPr>
      <w:r w:rsidRPr="00A0723D">
        <w:rPr>
          <w:rFonts w:ascii="Arial" w:hAnsi="Arial" w:cs="Arial"/>
          <w:b/>
          <w:lang w:val="fr-FR"/>
        </w:rPr>
        <w:t>e) la loi modifiée du 10 novembre 2009 relative aux services de paiement ;</w:t>
      </w:r>
    </w:p>
    <w:p w14:paraId="1C298252" w14:textId="77777777" w:rsidR="00A0723D" w:rsidRPr="00A0723D" w:rsidRDefault="00A0723D" w:rsidP="00142932">
      <w:pPr>
        <w:spacing w:after="0" w:line="240" w:lineRule="auto"/>
        <w:ind w:left="426"/>
        <w:contextualSpacing/>
        <w:rPr>
          <w:rFonts w:ascii="Arial" w:hAnsi="Arial" w:cs="Arial"/>
          <w:b/>
          <w:iCs/>
          <w:lang w:val="fr-FR"/>
        </w:rPr>
      </w:pPr>
      <w:r w:rsidRPr="00A0723D">
        <w:rPr>
          <w:rFonts w:ascii="Arial" w:hAnsi="Arial" w:cs="Arial"/>
          <w:b/>
          <w:iCs/>
          <w:lang w:val="fr-FR"/>
        </w:rPr>
        <w:t xml:space="preserve">f) </w:t>
      </w:r>
      <w:r>
        <w:rPr>
          <w:rFonts w:ascii="Arial" w:hAnsi="Arial" w:cs="Arial"/>
          <w:b/>
          <w:iCs/>
          <w:lang w:val="fr-FR"/>
        </w:rPr>
        <w:tab/>
      </w:r>
      <w:r w:rsidRPr="00A0723D">
        <w:rPr>
          <w:rFonts w:ascii="Arial" w:hAnsi="Arial" w:cs="Arial"/>
          <w:b/>
          <w:iCs/>
          <w:lang w:val="fr-FR"/>
        </w:rPr>
        <w:t>la loi modifiée du 7 décembre 2015 sur le secteur des assurances</w:t>
      </w:r>
    </w:p>
    <w:bookmarkEnd w:id="1"/>
    <w:p w14:paraId="7F7946C5" w14:textId="77777777" w:rsidR="00595D88" w:rsidRDefault="00595D88" w:rsidP="00595D88">
      <w:pPr>
        <w:spacing w:after="0" w:line="240" w:lineRule="auto"/>
        <w:jc w:val="both"/>
        <w:rPr>
          <w:rFonts w:ascii="Arial" w:hAnsi="Arial" w:cs="Arial"/>
          <w:lang w:val="fr-FR"/>
        </w:rPr>
      </w:pPr>
    </w:p>
    <w:p w14:paraId="6A9D029A" w14:textId="77777777" w:rsidR="00B31690" w:rsidRPr="00B31690" w:rsidRDefault="00B31690" w:rsidP="00B31690">
      <w:pPr>
        <w:spacing w:after="0" w:line="240" w:lineRule="auto"/>
        <w:jc w:val="both"/>
        <w:rPr>
          <w:rFonts w:ascii="Arial" w:hAnsi="Arial" w:cs="Arial"/>
        </w:rPr>
      </w:pPr>
      <w:r w:rsidRPr="00B31690">
        <w:rPr>
          <w:rFonts w:ascii="Arial" w:hAnsi="Arial" w:cs="Arial"/>
        </w:rPr>
        <w:t xml:space="preserve">Le </w:t>
      </w:r>
      <w:r w:rsidR="00142932">
        <w:rPr>
          <w:rFonts w:ascii="Arial" w:hAnsi="Arial" w:cs="Arial"/>
        </w:rPr>
        <w:t xml:space="preserve">présent </w:t>
      </w:r>
      <w:r w:rsidRPr="00B31690">
        <w:rPr>
          <w:rFonts w:ascii="Arial" w:hAnsi="Arial" w:cs="Arial"/>
        </w:rPr>
        <w:t xml:space="preserve">projet de loi a principalement pour objet de mettre en œuvre deux règlements européens ayant trait à la réglementation des cryptoactifs. </w:t>
      </w:r>
      <w:r w:rsidR="00142932">
        <w:rPr>
          <w:rFonts w:ascii="Arial" w:hAnsi="Arial" w:cs="Arial"/>
        </w:rPr>
        <w:t>Il</w:t>
      </w:r>
      <w:r w:rsidRPr="00B31690">
        <w:rPr>
          <w:rFonts w:ascii="Arial" w:hAnsi="Arial" w:cs="Arial"/>
        </w:rPr>
        <w:t xml:space="preserve"> vise également à mettre en œuvre deux règlements européens concernant la réglementation des fonds européens d’investissement à long terme et des obligations vertes européennes</w:t>
      </w:r>
      <w:r w:rsidR="00142932">
        <w:rPr>
          <w:rFonts w:ascii="Arial" w:hAnsi="Arial" w:cs="Arial"/>
        </w:rPr>
        <w:t>.</w:t>
      </w:r>
    </w:p>
    <w:p w14:paraId="2479C4B5" w14:textId="77777777" w:rsidR="00B31690" w:rsidRPr="00B31690" w:rsidRDefault="00B31690" w:rsidP="00B31690">
      <w:pPr>
        <w:spacing w:after="0" w:line="240" w:lineRule="auto"/>
        <w:jc w:val="both"/>
        <w:rPr>
          <w:rFonts w:ascii="Arial" w:hAnsi="Arial" w:cs="Arial"/>
        </w:rPr>
      </w:pPr>
    </w:p>
    <w:p w14:paraId="6E7C29C5"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Le règlement (UE) 2023/1114 du Parlement européen et du Conseil du 31 mai 2023 sur les marchés de crypto actifs et modifiant les règlements (UE) n° 1093/2010 et (UE) n° 1095/2010 et les directives 2013/36/UE et (UE) 2019/1937</w:t>
      </w:r>
    </w:p>
    <w:p w14:paraId="2C5B587D" w14:textId="77777777" w:rsidR="00B31690" w:rsidRPr="00B31690" w:rsidRDefault="00B31690" w:rsidP="00B31690">
      <w:pPr>
        <w:spacing w:after="0" w:line="240" w:lineRule="auto"/>
        <w:jc w:val="both"/>
        <w:rPr>
          <w:rFonts w:ascii="Arial" w:hAnsi="Arial" w:cs="Arial"/>
        </w:rPr>
      </w:pPr>
    </w:p>
    <w:p w14:paraId="475E78DE" w14:textId="77777777" w:rsidR="00B31690" w:rsidRPr="00B31690" w:rsidRDefault="00B31690" w:rsidP="00B31690">
      <w:pPr>
        <w:spacing w:after="0" w:line="240" w:lineRule="auto"/>
        <w:jc w:val="both"/>
        <w:rPr>
          <w:rFonts w:ascii="Arial" w:hAnsi="Arial" w:cs="Arial"/>
        </w:rPr>
      </w:pPr>
      <w:r w:rsidRPr="00B31690">
        <w:rPr>
          <w:rFonts w:ascii="Arial" w:hAnsi="Arial" w:cs="Arial"/>
        </w:rPr>
        <w:t>Le règlement (UE) 2023/1114</w:t>
      </w:r>
      <w:r w:rsidR="00142932" w:rsidRPr="00142932">
        <w:rPr>
          <w:rFonts w:ascii="Arial" w:hAnsi="Arial" w:cs="Arial"/>
        </w:rPr>
        <w:t xml:space="preserve"> </w:t>
      </w:r>
      <w:r w:rsidR="00142932">
        <w:rPr>
          <w:rFonts w:ascii="Arial" w:hAnsi="Arial" w:cs="Arial"/>
        </w:rPr>
        <w:t>(</w:t>
      </w:r>
      <w:r w:rsidR="00142932" w:rsidRPr="00B31690">
        <w:rPr>
          <w:rFonts w:ascii="Arial" w:hAnsi="Arial" w:cs="Arial"/>
        </w:rPr>
        <w:t xml:space="preserve">également connu sous l’acronyme « </w:t>
      </w:r>
      <w:proofErr w:type="spellStart"/>
      <w:r w:rsidR="00142932" w:rsidRPr="00B31690">
        <w:rPr>
          <w:rFonts w:ascii="Arial" w:hAnsi="Arial" w:cs="Arial"/>
        </w:rPr>
        <w:t>MiCA</w:t>
      </w:r>
      <w:proofErr w:type="spellEnd"/>
      <w:r w:rsidR="00142932" w:rsidRPr="00B31690">
        <w:rPr>
          <w:rFonts w:ascii="Arial" w:hAnsi="Arial" w:cs="Arial"/>
        </w:rPr>
        <w:t xml:space="preserve"> » (« </w:t>
      </w:r>
      <w:proofErr w:type="spellStart"/>
      <w:r w:rsidR="00142932" w:rsidRPr="00B31690">
        <w:rPr>
          <w:rFonts w:ascii="Arial" w:hAnsi="Arial" w:cs="Arial"/>
        </w:rPr>
        <w:t>Market</w:t>
      </w:r>
      <w:r w:rsidR="00142932">
        <w:rPr>
          <w:rFonts w:ascii="Arial" w:hAnsi="Arial" w:cs="Arial"/>
        </w:rPr>
        <w:t>s</w:t>
      </w:r>
      <w:proofErr w:type="spellEnd"/>
      <w:r w:rsidR="00142932" w:rsidRPr="00B31690">
        <w:rPr>
          <w:rFonts w:ascii="Arial" w:hAnsi="Arial" w:cs="Arial"/>
        </w:rPr>
        <w:t xml:space="preserve"> in Crypto-Assets »)</w:t>
      </w:r>
      <w:r w:rsidR="00142932">
        <w:rPr>
          <w:rFonts w:ascii="Arial" w:hAnsi="Arial" w:cs="Arial"/>
        </w:rPr>
        <w:t>)</w:t>
      </w:r>
      <w:r w:rsidRPr="00B31690">
        <w:rPr>
          <w:rFonts w:ascii="Arial" w:hAnsi="Arial" w:cs="Arial"/>
        </w:rPr>
        <w:t xml:space="preserve"> instaure un cadre juridique harmonisé dans l’Union européenne (UE) pour l’émission, l’offre au public, l’admission à la négociation et la prestation de services liés aux </w:t>
      </w:r>
      <w:proofErr w:type="spellStart"/>
      <w:r w:rsidRPr="00B31690">
        <w:rPr>
          <w:rFonts w:ascii="Arial" w:hAnsi="Arial" w:cs="Arial"/>
        </w:rPr>
        <w:t>crypto-actifs</w:t>
      </w:r>
      <w:proofErr w:type="spellEnd"/>
      <w:r w:rsidRPr="00B31690">
        <w:rPr>
          <w:rFonts w:ascii="Arial" w:hAnsi="Arial" w:cs="Arial"/>
        </w:rPr>
        <w:t>.</w:t>
      </w:r>
    </w:p>
    <w:p w14:paraId="0E4FC51A" w14:textId="77777777" w:rsidR="00B31690" w:rsidRPr="00B31690" w:rsidRDefault="00B31690" w:rsidP="00B31690">
      <w:pPr>
        <w:spacing w:after="0" w:line="240" w:lineRule="auto"/>
        <w:jc w:val="both"/>
        <w:rPr>
          <w:rFonts w:ascii="Arial" w:hAnsi="Arial" w:cs="Arial"/>
        </w:rPr>
      </w:pPr>
    </w:p>
    <w:p w14:paraId="254931DE" w14:textId="77777777" w:rsidR="00B31690" w:rsidRPr="00B31690" w:rsidRDefault="00B31690" w:rsidP="00B31690">
      <w:pPr>
        <w:spacing w:after="0" w:line="240" w:lineRule="auto"/>
        <w:jc w:val="both"/>
        <w:rPr>
          <w:rFonts w:ascii="Arial" w:hAnsi="Arial" w:cs="Arial"/>
        </w:rPr>
      </w:pPr>
      <w:r w:rsidRPr="00B31690">
        <w:rPr>
          <w:rFonts w:ascii="Arial" w:hAnsi="Arial" w:cs="Arial"/>
        </w:rPr>
        <w:t xml:space="preserve">La Commission de surveillance du secteur financier (CSSF) est l’autorité responsable de l'application de la réglementation relative aux </w:t>
      </w:r>
      <w:proofErr w:type="spellStart"/>
      <w:r w:rsidRPr="00B31690">
        <w:rPr>
          <w:rFonts w:ascii="Arial" w:hAnsi="Arial" w:cs="Arial"/>
        </w:rPr>
        <w:t>crypto-actifs</w:t>
      </w:r>
      <w:proofErr w:type="spellEnd"/>
    </w:p>
    <w:p w14:paraId="040AC6B4" w14:textId="77777777" w:rsidR="00B31690" w:rsidRPr="00B31690" w:rsidRDefault="00B31690" w:rsidP="00B31690">
      <w:pPr>
        <w:spacing w:after="0" w:line="240" w:lineRule="auto"/>
        <w:jc w:val="both"/>
        <w:rPr>
          <w:rFonts w:ascii="Arial" w:hAnsi="Arial" w:cs="Arial"/>
        </w:rPr>
      </w:pPr>
    </w:p>
    <w:p w14:paraId="2C758B95"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 xml:space="preserve">Le règlement (UE) 2023/1113 du Parlement européen et du Conseil du 31 mai 2023 sur les informations accompagnant les transferts de fonds et de certains </w:t>
      </w:r>
      <w:proofErr w:type="spellStart"/>
      <w:r w:rsidRPr="00B31690">
        <w:rPr>
          <w:rFonts w:ascii="Arial" w:hAnsi="Arial" w:cs="Arial"/>
          <w:b/>
          <w:bCs/>
        </w:rPr>
        <w:t>crypto-actifs</w:t>
      </w:r>
      <w:proofErr w:type="spellEnd"/>
      <w:r w:rsidRPr="00B31690">
        <w:rPr>
          <w:rFonts w:ascii="Arial" w:hAnsi="Arial" w:cs="Arial"/>
          <w:b/>
          <w:bCs/>
        </w:rPr>
        <w:t xml:space="preserve"> et modifiant la directive (UE) 2015/849</w:t>
      </w:r>
    </w:p>
    <w:p w14:paraId="3478A2B4" w14:textId="77777777" w:rsidR="00B31690" w:rsidRPr="00B31690" w:rsidRDefault="00B31690" w:rsidP="00B31690">
      <w:pPr>
        <w:spacing w:after="0" w:line="240" w:lineRule="auto"/>
        <w:jc w:val="both"/>
        <w:rPr>
          <w:rFonts w:ascii="Arial" w:hAnsi="Arial" w:cs="Arial"/>
          <w:b/>
          <w:bCs/>
        </w:rPr>
      </w:pPr>
    </w:p>
    <w:p w14:paraId="1306A97C" w14:textId="77777777" w:rsidR="00B31690" w:rsidRPr="00B31690" w:rsidRDefault="00B31690" w:rsidP="00B31690">
      <w:pPr>
        <w:spacing w:after="0" w:line="240" w:lineRule="auto"/>
        <w:jc w:val="both"/>
        <w:rPr>
          <w:rFonts w:ascii="Arial" w:hAnsi="Arial" w:cs="Arial"/>
        </w:rPr>
      </w:pPr>
      <w:r w:rsidRPr="00B31690">
        <w:rPr>
          <w:rFonts w:ascii="Arial" w:hAnsi="Arial" w:cs="Arial"/>
        </w:rPr>
        <w:lastRenderedPageBreak/>
        <w:t xml:space="preserve">Le « règlement (UE) 2023/1113 » remplace et étend les règles existantes sur les informations accompagnant les transferts de fonds, dispositif qui établit des règles relatives aux informations sur les donneurs d’ordre et les bénéficiaires de fonds accompagnant les transferts de fonds aux transferts de </w:t>
      </w:r>
      <w:proofErr w:type="spellStart"/>
      <w:r w:rsidRPr="00B31690">
        <w:rPr>
          <w:rFonts w:ascii="Arial" w:hAnsi="Arial" w:cs="Arial"/>
        </w:rPr>
        <w:t>crypto-actifs</w:t>
      </w:r>
      <w:proofErr w:type="spellEnd"/>
      <w:r w:rsidRPr="00B31690">
        <w:rPr>
          <w:rFonts w:ascii="Arial" w:hAnsi="Arial" w:cs="Arial"/>
        </w:rPr>
        <w:t>.</w:t>
      </w:r>
    </w:p>
    <w:p w14:paraId="01A0C893" w14:textId="77777777" w:rsidR="00B31690" w:rsidRPr="00B31690" w:rsidRDefault="00B31690" w:rsidP="00B31690">
      <w:pPr>
        <w:spacing w:after="0" w:line="240" w:lineRule="auto"/>
        <w:jc w:val="both"/>
        <w:rPr>
          <w:rFonts w:ascii="Arial" w:hAnsi="Arial" w:cs="Arial"/>
          <w:i/>
          <w:iCs/>
        </w:rPr>
      </w:pPr>
    </w:p>
    <w:p w14:paraId="103B70AB"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Le règlement (UE) 2023/606 du Parlement européen et du Conseil du 15 mars 2023 modifiant le règlement (UE) 2015/760 en ce qui concerne les exigences relatives aux politiques d’investissement et aux conditions de fonctionnement des fonds européens d’investissement à long terme et la définition des actifs éligibles à l’investissement, les obligations en matière de composition et de diversification du portefeuille et l’emprunt de liquidités et d’autres dispositions des statuts des fonds.</w:t>
      </w:r>
    </w:p>
    <w:p w14:paraId="535E0B9D" w14:textId="77777777" w:rsidR="00B31690" w:rsidRPr="00B31690" w:rsidRDefault="00B31690" w:rsidP="00B31690">
      <w:pPr>
        <w:spacing w:after="0" w:line="240" w:lineRule="auto"/>
        <w:jc w:val="both"/>
        <w:rPr>
          <w:rFonts w:ascii="Arial" w:hAnsi="Arial" w:cs="Arial"/>
          <w:b/>
          <w:bCs/>
        </w:rPr>
      </w:pPr>
    </w:p>
    <w:p w14:paraId="59F073EB" w14:textId="77777777" w:rsidR="00B31690" w:rsidRPr="00B31690" w:rsidRDefault="00B31690" w:rsidP="00B31690">
      <w:pPr>
        <w:spacing w:after="0" w:line="240" w:lineRule="auto"/>
        <w:jc w:val="both"/>
        <w:rPr>
          <w:rFonts w:ascii="Arial" w:hAnsi="Arial" w:cs="Arial"/>
          <w:b/>
          <w:bCs/>
        </w:rPr>
      </w:pPr>
      <w:r w:rsidRPr="00B31690">
        <w:rPr>
          <w:rFonts w:ascii="Arial" w:hAnsi="Arial" w:cs="Arial"/>
        </w:rPr>
        <w:t>Le règlement (UE) 2023/606 apporte des ajustements ciblés au règlement (UE) 2015/760 du 29 avril 2015 relatif aux fonds européens d’investissement à long terme. Le remaniement du cadre réglementaire pour les fonds européens d’investissement à long terme (communément appelé « ELTIF ») s’inscrit dans le cadre du train de mesures sur l’Union des marchés des capitaux.</w:t>
      </w:r>
      <w:r w:rsidRPr="00B31690">
        <w:rPr>
          <w:rFonts w:ascii="Arial" w:hAnsi="Arial" w:cs="Arial"/>
          <w:b/>
          <w:bCs/>
        </w:rPr>
        <w:t xml:space="preserve"> </w:t>
      </w:r>
    </w:p>
    <w:p w14:paraId="789BD37D" w14:textId="77777777" w:rsidR="00B31690" w:rsidRPr="00B31690" w:rsidRDefault="00B31690" w:rsidP="00B31690">
      <w:pPr>
        <w:spacing w:after="0" w:line="240" w:lineRule="auto"/>
        <w:jc w:val="both"/>
        <w:rPr>
          <w:rFonts w:ascii="Arial" w:hAnsi="Arial" w:cs="Arial"/>
        </w:rPr>
      </w:pPr>
    </w:p>
    <w:p w14:paraId="0D0D4971"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Le règlement (UE) 2023/2631 du Parlement européen et du Conseil du 22 novembre 2023 sur les obligations vertes européennes et la publication facultative d’informations pour les obligations commercialisées en tant qu’obligations durables sur le plan environnemental et pour les obligations liées à la durabilité</w:t>
      </w:r>
    </w:p>
    <w:p w14:paraId="51C71E3C" w14:textId="77777777" w:rsidR="00B31690" w:rsidRPr="00B31690" w:rsidRDefault="00B31690" w:rsidP="00B31690">
      <w:pPr>
        <w:spacing w:after="0" w:line="240" w:lineRule="auto"/>
        <w:jc w:val="both"/>
        <w:rPr>
          <w:rFonts w:ascii="Arial" w:hAnsi="Arial" w:cs="Arial"/>
        </w:rPr>
      </w:pPr>
    </w:p>
    <w:p w14:paraId="5EDFC7C0" w14:textId="77777777" w:rsidR="00B31690" w:rsidRPr="00B31690" w:rsidRDefault="00B31690" w:rsidP="00142932">
      <w:pPr>
        <w:spacing w:after="0" w:line="240" w:lineRule="auto"/>
        <w:jc w:val="both"/>
        <w:rPr>
          <w:rFonts w:ascii="Arial" w:hAnsi="Arial" w:cs="Arial"/>
        </w:rPr>
      </w:pPr>
      <w:r w:rsidRPr="00B31690">
        <w:rPr>
          <w:rFonts w:ascii="Arial" w:hAnsi="Arial" w:cs="Arial"/>
        </w:rPr>
        <w:t xml:space="preserve">L’objectif du règlement (UE) 2023/2631 est de définir un ensemble uniforme d’exigences applicables aux émetteurs d’obligations qui souhaitent utiliser l’appellation « obligation verte européenne » ou « </w:t>
      </w:r>
      <w:proofErr w:type="spellStart"/>
      <w:r w:rsidRPr="00B31690">
        <w:rPr>
          <w:rFonts w:ascii="Arial" w:hAnsi="Arial" w:cs="Arial"/>
        </w:rPr>
        <w:t>EuGB</w:t>
      </w:r>
      <w:proofErr w:type="spellEnd"/>
      <w:r w:rsidRPr="00B31690">
        <w:rPr>
          <w:rFonts w:ascii="Arial" w:hAnsi="Arial" w:cs="Arial"/>
        </w:rPr>
        <w:t xml:space="preserve"> » (« </w:t>
      </w:r>
      <w:proofErr w:type="spellStart"/>
      <w:r w:rsidRPr="00B31690">
        <w:rPr>
          <w:rFonts w:ascii="Arial" w:hAnsi="Arial" w:cs="Arial"/>
        </w:rPr>
        <w:t>European</w:t>
      </w:r>
      <w:proofErr w:type="spellEnd"/>
      <w:r w:rsidRPr="00B31690">
        <w:rPr>
          <w:rFonts w:ascii="Arial" w:hAnsi="Arial" w:cs="Arial"/>
        </w:rPr>
        <w:t xml:space="preserve"> Green Bond ») pour les obligations proposées aux investisseurs dans l’Union européenne en définissant les exigences de qualité applicables aux obligations vertes européennes. La CSSF est l’autorité compétente au Luxembourg pour veiller à l’application du règlement (UE) 2023/2631 par les émetteurs et, le cas échéant, les initiateurs et les entités de titrisation. </w:t>
      </w:r>
    </w:p>
    <w:p w14:paraId="49FEF66D" w14:textId="77777777" w:rsidR="00B31690" w:rsidRPr="00B31690" w:rsidRDefault="00B31690" w:rsidP="00B31690">
      <w:pPr>
        <w:spacing w:after="0" w:line="240" w:lineRule="auto"/>
        <w:jc w:val="both"/>
        <w:rPr>
          <w:rFonts w:ascii="Arial" w:hAnsi="Arial" w:cs="Arial"/>
        </w:rPr>
      </w:pPr>
    </w:p>
    <w:p w14:paraId="5540A018"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Autres modifications concernant le secteur financier</w:t>
      </w:r>
    </w:p>
    <w:p w14:paraId="2B4A9329" w14:textId="77777777" w:rsidR="00B31690" w:rsidRPr="00B31690" w:rsidRDefault="00B31690" w:rsidP="00B31690">
      <w:pPr>
        <w:spacing w:after="0" w:line="240" w:lineRule="auto"/>
        <w:jc w:val="both"/>
        <w:rPr>
          <w:rFonts w:ascii="Arial" w:hAnsi="Arial" w:cs="Arial"/>
        </w:rPr>
      </w:pPr>
    </w:p>
    <w:p w14:paraId="66FC4896" w14:textId="77777777" w:rsidR="00142932" w:rsidRDefault="00B31690" w:rsidP="00B31690">
      <w:pPr>
        <w:spacing w:after="0" w:line="240" w:lineRule="auto"/>
        <w:jc w:val="both"/>
        <w:rPr>
          <w:rFonts w:ascii="Arial" w:hAnsi="Arial" w:cs="Arial"/>
        </w:rPr>
      </w:pPr>
      <w:r w:rsidRPr="00B31690">
        <w:rPr>
          <w:rFonts w:ascii="Arial" w:hAnsi="Arial" w:cs="Arial"/>
        </w:rPr>
        <w:t xml:space="preserve">Le projet de loi apporte </w:t>
      </w:r>
      <w:r w:rsidR="00142932">
        <w:rPr>
          <w:rFonts w:ascii="Arial" w:hAnsi="Arial" w:cs="Arial"/>
        </w:rPr>
        <w:t xml:space="preserve">encore </w:t>
      </w:r>
      <w:r w:rsidRPr="00B31690">
        <w:rPr>
          <w:rFonts w:ascii="Arial" w:hAnsi="Arial" w:cs="Arial"/>
        </w:rPr>
        <w:t xml:space="preserve">des modifications ponctuelles à </w:t>
      </w:r>
      <w:r w:rsidR="00142932">
        <w:rPr>
          <w:rFonts w:ascii="Arial" w:hAnsi="Arial" w:cs="Arial"/>
        </w:rPr>
        <w:t>plusieurs lois concernant le secteur financier.</w:t>
      </w:r>
    </w:p>
    <w:p w14:paraId="77798146" w14:textId="77777777" w:rsidR="00160952" w:rsidRPr="007E2E31" w:rsidRDefault="00160952" w:rsidP="00895247">
      <w:pPr>
        <w:pStyle w:val="Body"/>
        <w:widowControl w:val="0"/>
        <w:tabs>
          <w:tab w:val="num" w:pos="284"/>
        </w:tabs>
        <w:jc w:val="both"/>
        <w:rPr>
          <w:rFonts w:ascii="Arial" w:hAnsi="Arial" w:cs="Arial"/>
          <w:sz w:val="22"/>
          <w:szCs w:val="22"/>
        </w:rPr>
      </w:pPr>
    </w:p>
    <w:sectPr w:rsidR="00160952" w:rsidRPr="007E2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C6BE" w14:textId="77777777" w:rsidR="0083305D" w:rsidRDefault="0083305D" w:rsidP="006E6CEA">
      <w:pPr>
        <w:spacing w:after="0" w:line="240" w:lineRule="auto"/>
      </w:pPr>
      <w:r>
        <w:separator/>
      </w:r>
    </w:p>
  </w:endnote>
  <w:endnote w:type="continuationSeparator" w:id="0">
    <w:p w14:paraId="5EDCCC68" w14:textId="77777777" w:rsidR="0083305D" w:rsidRDefault="0083305D"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D3B4E"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795918F1"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3966" w14:textId="77777777" w:rsidR="0083305D" w:rsidRDefault="0083305D" w:rsidP="006E6CEA">
      <w:pPr>
        <w:spacing w:after="0" w:line="240" w:lineRule="auto"/>
      </w:pPr>
      <w:r>
        <w:separator/>
      </w:r>
    </w:p>
  </w:footnote>
  <w:footnote w:type="continuationSeparator" w:id="0">
    <w:p w14:paraId="6E208972" w14:textId="77777777" w:rsidR="0083305D" w:rsidRDefault="0083305D"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1144AB"/>
    <w:multiLevelType w:val="hybridMultilevel"/>
    <w:tmpl w:val="9BFC21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83C6E"/>
    <w:multiLevelType w:val="multilevel"/>
    <w:tmpl w:val="AE2E88C8"/>
    <w:numStyleLink w:val="APL"/>
  </w:abstractNum>
  <w:abstractNum w:abstractNumId="2" w15:restartNumberingAfterBreak="0">
    <w:nsid w:val="0C891B2D"/>
    <w:multiLevelType w:val="hybridMultilevel"/>
    <w:tmpl w:val="26C225DE"/>
    <w:lvl w:ilvl="0" w:tplc="403835B8">
      <w:start w:val="6"/>
      <w:numFmt w:val="low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6741B80"/>
    <w:multiLevelType w:val="hybridMultilevel"/>
    <w:tmpl w:val="47C834DC"/>
    <w:lvl w:ilvl="0" w:tplc="22D21826">
      <w:start w:val="1"/>
      <w:numFmt w:val="decimal"/>
      <w:lvlText w:val="%1."/>
      <w:lvlJc w:val="left"/>
      <w:pPr>
        <w:ind w:left="720" w:hanging="360"/>
      </w:pPr>
    </w:lvl>
    <w:lvl w:ilvl="1" w:tplc="CF58EC8A">
      <w:start w:val="1"/>
      <w:numFmt w:val="decimal"/>
      <w:lvlText w:val="%2."/>
      <w:lvlJc w:val="left"/>
      <w:pPr>
        <w:ind w:left="720" w:hanging="360"/>
      </w:pPr>
    </w:lvl>
    <w:lvl w:ilvl="2" w:tplc="12AA43D0">
      <w:start w:val="1"/>
      <w:numFmt w:val="decimal"/>
      <w:lvlText w:val="%3."/>
      <w:lvlJc w:val="left"/>
      <w:pPr>
        <w:ind w:left="720" w:hanging="360"/>
      </w:pPr>
    </w:lvl>
    <w:lvl w:ilvl="3" w:tplc="DDEE7E72">
      <w:start w:val="1"/>
      <w:numFmt w:val="decimal"/>
      <w:lvlText w:val="%4."/>
      <w:lvlJc w:val="left"/>
      <w:pPr>
        <w:ind w:left="720" w:hanging="360"/>
      </w:pPr>
    </w:lvl>
    <w:lvl w:ilvl="4" w:tplc="3E105574">
      <w:start w:val="1"/>
      <w:numFmt w:val="decimal"/>
      <w:lvlText w:val="%5."/>
      <w:lvlJc w:val="left"/>
      <w:pPr>
        <w:ind w:left="720" w:hanging="360"/>
      </w:pPr>
    </w:lvl>
    <w:lvl w:ilvl="5" w:tplc="DF2055A6">
      <w:start w:val="1"/>
      <w:numFmt w:val="decimal"/>
      <w:lvlText w:val="%6."/>
      <w:lvlJc w:val="left"/>
      <w:pPr>
        <w:ind w:left="720" w:hanging="360"/>
      </w:pPr>
    </w:lvl>
    <w:lvl w:ilvl="6" w:tplc="114C16F2">
      <w:start w:val="1"/>
      <w:numFmt w:val="decimal"/>
      <w:lvlText w:val="%7."/>
      <w:lvlJc w:val="left"/>
      <w:pPr>
        <w:ind w:left="720" w:hanging="360"/>
      </w:pPr>
    </w:lvl>
    <w:lvl w:ilvl="7" w:tplc="B9F2EB10">
      <w:start w:val="1"/>
      <w:numFmt w:val="decimal"/>
      <w:lvlText w:val="%8."/>
      <w:lvlJc w:val="left"/>
      <w:pPr>
        <w:ind w:left="720" w:hanging="360"/>
      </w:pPr>
    </w:lvl>
    <w:lvl w:ilvl="8" w:tplc="6186BBE8">
      <w:start w:val="1"/>
      <w:numFmt w:val="decimal"/>
      <w:lvlText w:val="%9."/>
      <w:lvlJc w:val="left"/>
      <w:pPr>
        <w:ind w:left="720" w:hanging="360"/>
      </w:pPr>
    </w:lvl>
  </w:abstractNum>
  <w:abstractNum w:abstractNumId="4" w15:restartNumberingAfterBreak="0">
    <w:nsid w:val="194358E3"/>
    <w:multiLevelType w:val="multilevel"/>
    <w:tmpl w:val="AE2E88C8"/>
    <w:numStyleLink w:val="APL"/>
  </w:abstractNum>
  <w:abstractNum w:abstractNumId="5" w15:restartNumberingAfterBreak="0">
    <w:nsid w:val="19B45427"/>
    <w:multiLevelType w:val="hybridMultilevel"/>
    <w:tmpl w:val="C6A8D7F8"/>
    <w:lvl w:ilvl="0" w:tplc="460CADB6">
      <w:start w:val="3"/>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EAA1973"/>
    <w:multiLevelType w:val="multilevel"/>
    <w:tmpl w:val="AE2E88C8"/>
    <w:numStyleLink w:val="APL"/>
  </w:abstractNum>
  <w:abstractNum w:abstractNumId="8" w15:restartNumberingAfterBreak="0">
    <w:nsid w:val="20AB7B39"/>
    <w:multiLevelType w:val="hybridMultilevel"/>
    <w:tmpl w:val="ECA035C6"/>
    <w:lvl w:ilvl="0" w:tplc="101420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0546A3"/>
    <w:multiLevelType w:val="hybridMultilevel"/>
    <w:tmpl w:val="C6D0B148"/>
    <w:lvl w:ilvl="0" w:tplc="05CA4E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A16CAD"/>
    <w:multiLevelType w:val="hybridMultilevel"/>
    <w:tmpl w:val="4C6C49C6"/>
    <w:lvl w:ilvl="0" w:tplc="227A1288">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F84ECB"/>
    <w:multiLevelType w:val="hybridMultilevel"/>
    <w:tmpl w:val="C0B451B0"/>
    <w:lvl w:ilvl="0" w:tplc="4998DDAC">
      <w:numFmt w:val="bullet"/>
      <w:lvlText w:val=""/>
      <w:lvlJc w:val="left"/>
      <w:pPr>
        <w:ind w:left="410" w:hanging="360"/>
      </w:pPr>
      <w:rPr>
        <w:rFonts w:ascii="Wingdings" w:eastAsia="Aptos" w:hAnsi="Wingdings"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4" w15:restartNumberingAfterBreak="0">
    <w:nsid w:val="2E24607B"/>
    <w:multiLevelType w:val="hybridMultilevel"/>
    <w:tmpl w:val="405EE642"/>
    <w:lvl w:ilvl="0" w:tplc="B77E0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E35E6"/>
    <w:multiLevelType w:val="hybridMultilevel"/>
    <w:tmpl w:val="9068599C"/>
    <w:lvl w:ilvl="0" w:tplc="1C4ABCCC">
      <w:start w:val="1"/>
      <w:numFmt w:val="decimal"/>
      <w:lvlText w:val="(%1)"/>
      <w:lvlJc w:val="left"/>
      <w:pPr>
        <w:ind w:left="1490" w:hanging="4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F903A1"/>
    <w:multiLevelType w:val="hybridMultilevel"/>
    <w:tmpl w:val="1CF40962"/>
    <w:lvl w:ilvl="0" w:tplc="2FD09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1D288D"/>
    <w:multiLevelType w:val="hybridMultilevel"/>
    <w:tmpl w:val="2832937C"/>
    <w:lvl w:ilvl="0" w:tplc="8CA06D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F0DF9"/>
    <w:multiLevelType w:val="hybridMultilevel"/>
    <w:tmpl w:val="E9E6C1EC"/>
    <w:lvl w:ilvl="0" w:tplc="FDAC7AEE">
      <w:numFmt w:val="bullet"/>
      <w:lvlText w:val=""/>
      <w:lvlJc w:val="left"/>
      <w:pPr>
        <w:ind w:left="785" w:hanging="360"/>
      </w:pPr>
      <w:rPr>
        <w:rFonts w:ascii="Wingdings" w:eastAsia="Gill Sans MT" w:hAnsi="Wingdings" w:cs="Gill Sans MT" w:hint="default"/>
      </w:rPr>
    </w:lvl>
    <w:lvl w:ilvl="1" w:tplc="04090003">
      <w:start w:val="1"/>
      <w:numFmt w:val="bullet"/>
      <w:lvlText w:val="o"/>
      <w:lvlJc w:val="left"/>
      <w:pPr>
        <w:ind w:left="1932" w:hanging="360"/>
      </w:pPr>
      <w:rPr>
        <w:rFonts w:ascii="Courier New" w:hAnsi="Courier New" w:cs="Courier New" w:hint="default"/>
      </w:rPr>
    </w:lvl>
    <w:lvl w:ilvl="2" w:tplc="8DEE8454">
      <w:numFmt w:val="bullet"/>
      <w:lvlText w:val=""/>
      <w:lvlJc w:val="left"/>
      <w:pPr>
        <w:ind w:left="2697" w:hanging="405"/>
      </w:pPr>
      <w:rPr>
        <w:rFonts w:ascii="Wingdings" w:eastAsia="Gill Sans MT" w:hAnsi="Wingdings" w:cs="Gill Sans MT" w:hint="default"/>
        <w:b/>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9"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0" w15:restartNumberingAfterBreak="0">
    <w:nsid w:val="417F69C3"/>
    <w:multiLevelType w:val="hybridMultilevel"/>
    <w:tmpl w:val="79BE0A20"/>
    <w:lvl w:ilvl="0" w:tplc="2D3CB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22"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3" w15:restartNumberingAfterBreak="0">
    <w:nsid w:val="47A378CB"/>
    <w:multiLevelType w:val="hybridMultilevel"/>
    <w:tmpl w:val="E2FA5578"/>
    <w:lvl w:ilvl="0" w:tplc="E77CF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25" w15:restartNumberingAfterBreak="0">
    <w:nsid w:val="4B00100F"/>
    <w:multiLevelType w:val="hybridMultilevel"/>
    <w:tmpl w:val="B20016F8"/>
    <w:lvl w:ilvl="0" w:tplc="6B10C096">
      <w:start w:val="1"/>
      <w:numFmt w:val="bullet"/>
      <w:lvlText w:val=""/>
      <w:lvlJc w:val="left"/>
      <w:pPr>
        <w:ind w:left="1800" w:hanging="360"/>
      </w:pPr>
      <w:rPr>
        <w:rFonts w:ascii="Wingdings" w:eastAsia="Aptos"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422953"/>
    <w:multiLevelType w:val="hybridMultilevel"/>
    <w:tmpl w:val="57D6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9EA79E"/>
    <w:multiLevelType w:val="hybridMultilevel"/>
    <w:tmpl w:val="53CD6E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0E23D76"/>
    <w:multiLevelType w:val="hybridMultilevel"/>
    <w:tmpl w:val="5170C2CE"/>
    <w:lvl w:ilvl="0" w:tplc="A9D284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8B7350"/>
    <w:multiLevelType w:val="hybridMultilevel"/>
    <w:tmpl w:val="50F4F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BC2"/>
    <w:multiLevelType w:val="hybridMultilevel"/>
    <w:tmpl w:val="D004B55A"/>
    <w:lvl w:ilvl="0" w:tplc="A39C161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C9630D3"/>
    <w:multiLevelType w:val="hybridMultilevel"/>
    <w:tmpl w:val="B6021752"/>
    <w:lvl w:ilvl="0" w:tplc="19F8A3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F24AA"/>
    <w:multiLevelType w:val="multilevel"/>
    <w:tmpl w:val="AE2E88C8"/>
    <w:numStyleLink w:val="APL"/>
  </w:abstractNum>
  <w:abstractNum w:abstractNumId="37" w15:restartNumberingAfterBreak="0">
    <w:nsid w:val="609D420C"/>
    <w:multiLevelType w:val="hybridMultilevel"/>
    <w:tmpl w:val="D3C6DF70"/>
    <w:lvl w:ilvl="0" w:tplc="40D2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377461"/>
    <w:multiLevelType w:val="hybridMultilevel"/>
    <w:tmpl w:val="D6E241C6"/>
    <w:lvl w:ilvl="0" w:tplc="1BD89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3"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7BF07E6F"/>
    <w:multiLevelType w:val="hybridMultilevel"/>
    <w:tmpl w:val="0DCA4C6A"/>
    <w:lvl w:ilvl="0" w:tplc="E3921AB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A09C7"/>
    <w:multiLevelType w:val="hybridMultilevel"/>
    <w:tmpl w:val="7C16DE22"/>
    <w:lvl w:ilvl="0" w:tplc="9BB61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1427">
    <w:abstractNumId w:val="39"/>
  </w:num>
  <w:num w:numId="2" w16cid:durableId="808059676">
    <w:abstractNumId w:val="12"/>
  </w:num>
  <w:num w:numId="3" w16cid:durableId="173619302">
    <w:abstractNumId w:val="27"/>
  </w:num>
  <w:num w:numId="4" w16cid:durableId="1359545469">
    <w:abstractNumId w:val="33"/>
  </w:num>
  <w:num w:numId="5" w16cid:durableId="1877161803">
    <w:abstractNumId w:val="26"/>
  </w:num>
  <w:num w:numId="6" w16cid:durableId="139615062">
    <w:abstractNumId w:val="42"/>
  </w:num>
  <w:num w:numId="7" w16cid:durableId="1220626397">
    <w:abstractNumId w:val="43"/>
  </w:num>
  <w:num w:numId="8" w16cid:durableId="974220566">
    <w:abstractNumId w:val="6"/>
  </w:num>
  <w:num w:numId="9" w16cid:durableId="621114015">
    <w:abstractNumId w:val="19"/>
  </w:num>
  <w:num w:numId="10" w16cid:durableId="49110450">
    <w:abstractNumId w:val="4"/>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974336955">
    <w:abstractNumId w:val="36"/>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269119030">
    <w:abstractNumId w:val="7"/>
  </w:num>
  <w:num w:numId="13" w16cid:durableId="1061909143">
    <w:abstractNumId w:val="21"/>
  </w:num>
  <w:num w:numId="14" w16cid:durableId="1450782303">
    <w:abstractNumId w:val="22"/>
  </w:num>
  <w:num w:numId="15" w16cid:durableId="550921493">
    <w:abstractNumId w:val="1"/>
  </w:num>
  <w:num w:numId="16" w16cid:durableId="457450613">
    <w:abstractNumId w:val="24"/>
  </w:num>
  <w:num w:numId="17" w16cid:durableId="1321495284">
    <w:abstractNumId w:val="11"/>
  </w:num>
  <w:num w:numId="18" w16cid:durableId="1842744011">
    <w:abstractNumId w:val="29"/>
  </w:num>
  <w:num w:numId="19" w16cid:durableId="1208493313">
    <w:abstractNumId w:val="40"/>
  </w:num>
  <w:num w:numId="20" w16cid:durableId="1449159473">
    <w:abstractNumId w:val="41"/>
  </w:num>
  <w:num w:numId="21" w16cid:durableId="13045070">
    <w:abstractNumId w:val="44"/>
  </w:num>
  <w:num w:numId="22" w16cid:durableId="584189509">
    <w:abstractNumId w:val="28"/>
  </w:num>
  <w:num w:numId="23" w16cid:durableId="816610512">
    <w:abstractNumId w:val="14"/>
  </w:num>
  <w:num w:numId="24" w16cid:durableId="419452092">
    <w:abstractNumId w:val="16"/>
  </w:num>
  <w:num w:numId="25" w16cid:durableId="43606403">
    <w:abstractNumId w:val="37"/>
  </w:num>
  <w:num w:numId="26" w16cid:durableId="453713440">
    <w:abstractNumId w:val="17"/>
  </w:num>
  <w:num w:numId="27" w16cid:durableId="1903129714">
    <w:abstractNumId w:val="35"/>
  </w:num>
  <w:num w:numId="28" w16cid:durableId="462773652">
    <w:abstractNumId w:val="8"/>
  </w:num>
  <w:num w:numId="29" w16cid:durableId="1090273962">
    <w:abstractNumId w:val="32"/>
  </w:num>
  <w:num w:numId="30" w16cid:durableId="1034620900">
    <w:abstractNumId w:val="25"/>
  </w:num>
  <w:num w:numId="31" w16cid:durableId="1585604022">
    <w:abstractNumId w:val="18"/>
  </w:num>
  <w:num w:numId="32" w16cid:durableId="1180506797">
    <w:abstractNumId w:val="3"/>
  </w:num>
  <w:num w:numId="33" w16cid:durableId="36593132">
    <w:abstractNumId w:val="20"/>
  </w:num>
  <w:num w:numId="34" w16cid:durableId="2069526038">
    <w:abstractNumId w:val="5"/>
  </w:num>
  <w:num w:numId="35" w16cid:durableId="1772780817">
    <w:abstractNumId w:val="10"/>
  </w:num>
  <w:num w:numId="36" w16cid:durableId="1160996191">
    <w:abstractNumId w:val="23"/>
  </w:num>
  <w:num w:numId="37" w16cid:durableId="1160660721">
    <w:abstractNumId w:val="15"/>
  </w:num>
  <w:num w:numId="38" w16cid:durableId="1165558894">
    <w:abstractNumId w:val="13"/>
  </w:num>
  <w:num w:numId="39" w16cid:durableId="827209718">
    <w:abstractNumId w:val="31"/>
  </w:num>
  <w:num w:numId="40" w16cid:durableId="680283634">
    <w:abstractNumId w:val="34"/>
  </w:num>
  <w:num w:numId="41" w16cid:durableId="13307625">
    <w:abstractNumId w:val="38"/>
  </w:num>
  <w:num w:numId="42" w16cid:durableId="959995957">
    <w:abstractNumId w:val="0"/>
  </w:num>
  <w:num w:numId="43" w16cid:durableId="306015706">
    <w:abstractNumId w:val="30"/>
  </w:num>
  <w:num w:numId="44" w16cid:durableId="382800475">
    <w:abstractNumId w:val="45"/>
  </w:num>
  <w:num w:numId="45" w16cid:durableId="1342853359">
    <w:abstractNumId w:val="9"/>
  </w:num>
  <w:num w:numId="46" w16cid:durableId="73289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F1E3E"/>
    <w:rsid w:val="000F5978"/>
    <w:rsid w:val="0010111B"/>
    <w:rsid w:val="00105955"/>
    <w:rsid w:val="00124094"/>
    <w:rsid w:val="00124AF3"/>
    <w:rsid w:val="00140E59"/>
    <w:rsid w:val="00142932"/>
    <w:rsid w:val="00153D56"/>
    <w:rsid w:val="00157C66"/>
    <w:rsid w:val="00160952"/>
    <w:rsid w:val="00165A5C"/>
    <w:rsid w:val="00170E30"/>
    <w:rsid w:val="0018433C"/>
    <w:rsid w:val="001844DC"/>
    <w:rsid w:val="00186575"/>
    <w:rsid w:val="00192479"/>
    <w:rsid w:val="001973E8"/>
    <w:rsid w:val="001A00CA"/>
    <w:rsid w:val="001A1A1B"/>
    <w:rsid w:val="001A399D"/>
    <w:rsid w:val="001A6A33"/>
    <w:rsid w:val="001B6A4B"/>
    <w:rsid w:val="001C2ED4"/>
    <w:rsid w:val="001C6FBC"/>
    <w:rsid w:val="001E1CE9"/>
    <w:rsid w:val="00204BA5"/>
    <w:rsid w:val="00212506"/>
    <w:rsid w:val="0022485B"/>
    <w:rsid w:val="00244C9A"/>
    <w:rsid w:val="00255C2F"/>
    <w:rsid w:val="0027387E"/>
    <w:rsid w:val="002750A4"/>
    <w:rsid w:val="00280ED3"/>
    <w:rsid w:val="002851C5"/>
    <w:rsid w:val="00293237"/>
    <w:rsid w:val="002942B5"/>
    <w:rsid w:val="00294B05"/>
    <w:rsid w:val="002C5EA2"/>
    <w:rsid w:val="002C7D3F"/>
    <w:rsid w:val="002D5CF2"/>
    <w:rsid w:val="002F0ADB"/>
    <w:rsid w:val="002F386A"/>
    <w:rsid w:val="002F3B16"/>
    <w:rsid w:val="00304830"/>
    <w:rsid w:val="003113BD"/>
    <w:rsid w:val="0033142D"/>
    <w:rsid w:val="00332F7C"/>
    <w:rsid w:val="003349D4"/>
    <w:rsid w:val="003350D0"/>
    <w:rsid w:val="003378B4"/>
    <w:rsid w:val="003424D3"/>
    <w:rsid w:val="0039623B"/>
    <w:rsid w:val="003B0E6B"/>
    <w:rsid w:val="003B7BE5"/>
    <w:rsid w:val="003C230F"/>
    <w:rsid w:val="003C40C7"/>
    <w:rsid w:val="003D681E"/>
    <w:rsid w:val="003F2C1C"/>
    <w:rsid w:val="003F5E23"/>
    <w:rsid w:val="003F7A23"/>
    <w:rsid w:val="00421A92"/>
    <w:rsid w:val="00424146"/>
    <w:rsid w:val="00424C3C"/>
    <w:rsid w:val="00426730"/>
    <w:rsid w:val="00426CEF"/>
    <w:rsid w:val="00427E83"/>
    <w:rsid w:val="004332F0"/>
    <w:rsid w:val="00443350"/>
    <w:rsid w:val="00443EA9"/>
    <w:rsid w:val="00445EE5"/>
    <w:rsid w:val="00455B5E"/>
    <w:rsid w:val="00457E34"/>
    <w:rsid w:val="00460BB7"/>
    <w:rsid w:val="00466FF0"/>
    <w:rsid w:val="004740F2"/>
    <w:rsid w:val="00476C70"/>
    <w:rsid w:val="004826A7"/>
    <w:rsid w:val="00485ACB"/>
    <w:rsid w:val="004915B2"/>
    <w:rsid w:val="00495E9F"/>
    <w:rsid w:val="004A0459"/>
    <w:rsid w:val="004A1E95"/>
    <w:rsid w:val="004B3799"/>
    <w:rsid w:val="004C1FE8"/>
    <w:rsid w:val="004C6FDC"/>
    <w:rsid w:val="004E60D4"/>
    <w:rsid w:val="00502BCC"/>
    <w:rsid w:val="005031C7"/>
    <w:rsid w:val="00504169"/>
    <w:rsid w:val="00507D1C"/>
    <w:rsid w:val="005173D1"/>
    <w:rsid w:val="00531429"/>
    <w:rsid w:val="00561A17"/>
    <w:rsid w:val="00561EA8"/>
    <w:rsid w:val="00565FCF"/>
    <w:rsid w:val="00585241"/>
    <w:rsid w:val="00595D88"/>
    <w:rsid w:val="005969DE"/>
    <w:rsid w:val="005A2AF3"/>
    <w:rsid w:val="005A3F3E"/>
    <w:rsid w:val="005A5799"/>
    <w:rsid w:val="005A57B6"/>
    <w:rsid w:val="005B1EAF"/>
    <w:rsid w:val="005B5C56"/>
    <w:rsid w:val="005C6D44"/>
    <w:rsid w:val="005D3D76"/>
    <w:rsid w:val="005E1AC1"/>
    <w:rsid w:val="005E2CF4"/>
    <w:rsid w:val="006031A9"/>
    <w:rsid w:val="00612ABB"/>
    <w:rsid w:val="006206E0"/>
    <w:rsid w:val="00621169"/>
    <w:rsid w:val="00630E07"/>
    <w:rsid w:val="00633300"/>
    <w:rsid w:val="0064032F"/>
    <w:rsid w:val="00643905"/>
    <w:rsid w:val="00657437"/>
    <w:rsid w:val="0066748F"/>
    <w:rsid w:val="006720BC"/>
    <w:rsid w:val="00680705"/>
    <w:rsid w:val="00680776"/>
    <w:rsid w:val="006829B8"/>
    <w:rsid w:val="00682DF2"/>
    <w:rsid w:val="006862A4"/>
    <w:rsid w:val="00694E5E"/>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3465"/>
    <w:rsid w:val="007265A3"/>
    <w:rsid w:val="007344C3"/>
    <w:rsid w:val="0073537F"/>
    <w:rsid w:val="00737580"/>
    <w:rsid w:val="0074285D"/>
    <w:rsid w:val="007428E6"/>
    <w:rsid w:val="0074384E"/>
    <w:rsid w:val="00744A9F"/>
    <w:rsid w:val="00752348"/>
    <w:rsid w:val="00772B00"/>
    <w:rsid w:val="00773C30"/>
    <w:rsid w:val="0078608E"/>
    <w:rsid w:val="007942C7"/>
    <w:rsid w:val="007A5DA5"/>
    <w:rsid w:val="007C160B"/>
    <w:rsid w:val="007D57D1"/>
    <w:rsid w:val="00802625"/>
    <w:rsid w:val="00821E10"/>
    <w:rsid w:val="00825BD2"/>
    <w:rsid w:val="0083305D"/>
    <w:rsid w:val="00835FB4"/>
    <w:rsid w:val="008555EA"/>
    <w:rsid w:val="00860053"/>
    <w:rsid w:val="00860178"/>
    <w:rsid w:val="0086374F"/>
    <w:rsid w:val="00885898"/>
    <w:rsid w:val="00885ED7"/>
    <w:rsid w:val="00895247"/>
    <w:rsid w:val="008A24CE"/>
    <w:rsid w:val="008A6669"/>
    <w:rsid w:val="008B23FC"/>
    <w:rsid w:val="008C2635"/>
    <w:rsid w:val="008C4D3F"/>
    <w:rsid w:val="008D2E3F"/>
    <w:rsid w:val="008E02F7"/>
    <w:rsid w:val="008E1D57"/>
    <w:rsid w:val="008E2CEC"/>
    <w:rsid w:val="008E64E5"/>
    <w:rsid w:val="00911114"/>
    <w:rsid w:val="00921D8C"/>
    <w:rsid w:val="0092477B"/>
    <w:rsid w:val="009278CA"/>
    <w:rsid w:val="009321B5"/>
    <w:rsid w:val="009363F2"/>
    <w:rsid w:val="009468E2"/>
    <w:rsid w:val="00955836"/>
    <w:rsid w:val="00957D98"/>
    <w:rsid w:val="009603F8"/>
    <w:rsid w:val="009870DC"/>
    <w:rsid w:val="00991D2D"/>
    <w:rsid w:val="009964F5"/>
    <w:rsid w:val="009A6C7D"/>
    <w:rsid w:val="009C0799"/>
    <w:rsid w:val="009D3856"/>
    <w:rsid w:val="009E0554"/>
    <w:rsid w:val="00A02745"/>
    <w:rsid w:val="00A0723D"/>
    <w:rsid w:val="00A11C57"/>
    <w:rsid w:val="00A335FE"/>
    <w:rsid w:val="00A349A8"/>
    <w:rsid w:val="00A35CE6"/>
    <w:rsid w:val="00A53E99"/>
    <w:rsid w:val="00A63AE6"/>
    <w:rsid w:val="00A64FBF"/>
    <w:rsid w:val="00A77F73"/>
    <w:rsid w:val="00A81535"/>
    <w:rsid w:val="00AA0D6B"/>
    <w:rsid w:val="00AA1189"/>
    <w:rsid w:val="00AB49F1"/>
    <w:rsid w:val="00AB4BF9"/>
    <w:rsid w:val="00AC1114"/>
    <w:rsid w:val="00B03BD1"/>
    <w:rsid w:val="00B05660"/>
    <w:rsid w:val="00B11EE5"/>
    <w:rsid w:val="00B13B36"/>
    <w:rsid w:val="00B204B5"/>
    <w:rsid w:val="00B24915"/>
    <w:rsid w:val="00B31690"/>
    <w:rsid w:val="00B31DE0"/>
    <w:rsid w:val="00B41F42"/>
    <w:rsid w:val="00B46A37"/>
    <w:rsid w:val="00B56DE5"/>
    <w:rsid w:val="00B6226B"/>
    <w:rsid w:val="00B666AC"/>
    <w:rsid w:val="00BA068A"/>
    <w:rsid w:val="00BA11CD"/>
    <w:rsid w:val="00BB6D4C"/>
    <w:rsid w:val="00BE4773"/>
    <w:rsid w:val="00BE6499"/>
    <w:rsid w:val="00C0030C"/>
    <w:rsid w:val="00C00C43"/>
    <w:rsid w:val="00C05F8E"/>
    <w:rsid w:val="00C06BDE"/>
    <w:rsid w:val="00C24E93"/>
    <w:rsid w:val="00C425FB"/>
    <w:rsid w:val="00C51C4E"/>
    <w:rsid w:val="00C52797"/>
    <w:rsid w:val="00C53B16"/>
    <w:rsid w:val="00C61359"/>
    <w:rsid w:val="00C626D7"/>
    <w:rsid w:val="00C656E9"/>
    <w:rsid w:val="00C70C30"/>
    <w:rsid w:val="00C75F74"/>
    <w:rsid w:val="00C87372"/>
    <w:rsid w:val="00C909DA"/>
    <w:rsid w:val="00CA311B"/>
    <w:rsid w:val="00CA5177"/>
    <w:rsid w:val="00CE5FE6"/>
    <w:rsid w:val="00CE7012"/>
    <w:rsid w:val="00CE7957"/>
    <w:rsid w:val="00CF77A6"/>
    <w:rsid w:val="00D00C76"/>
    <w:rsid w:val="00D00C8B"/>
    <w:rsid w:val="00D1097E"/>
    <w:rsid w:val="00D275F6"/>
    <w:rsid w:val="00D3445B"/>
    <w:rsid w:val="00D54A56"/>
    <w:rsid w:val="00D66486"/>
    <w:rsid w:val="00D752D4"/>
    <w:rsid w:val="00DB0A9D"/>
    <w:rsid w:val="00DB12F2"/>
    <w:rsid w:val="00DC21B9"/>
    <w:rsid w:val="00DD4091"/>
    <w:rsid w:val="00DE6011"/>
    <w:rsid w:val="00DF1CBB"/>
    <w:rsid w:val="00E01E15"/>
    <w:rsid w:val="00E0260E"/>
    <w:rsid w:val="00E02A9D"/>
    <w:rsid w:val="00E072B7"/>
    <w:rsid w:val="00E14DA9"/>
    <w:rsid w:val="00E15212"/>
    <w:rsid w:val="00E27073"/>
    <w:rsid w:val="00E34CC1"/>
    <w:rsid w:val="00E3513C"/>
    <w:rsid w:val="00E3772A"/>
    <w:rsid w:val="00E526B7"/>
    <w:rsid w:val="00E769CD"/>
    <w:rsid w:val="00E842D2"/>
    <w:rsid w:val="00E879C5"/>
    <w:rsid w:val="00E93013"/>
    <w:rsid w:val="00E93021"/>
    <w:rsid w:val="00E969D4"/>
    <w:rsid w:val="00EA7C83"/>
    <w:rsid w:val="00EB2727"/>
    <w:rsid w:val="00EB4F9B"/>
    <w:rsid w:val="00EC6AD2"/>
    <w:rsid w:val="00ED2F34"/>
    <w:rsid w:val="00ED5FB0"/>
    <w:rsid w:val="00EE3E02"/>
    <w:rsid w:val="00F029A2"/>
    <w:rsid w:val="00F077D2"/>
    <w:rsid w:val="00F1276A"/>
    <w:rsid w:val="00F12946"/>
    <w:rsid w:val="00F15F71"/>
    <w:rsid w:val="00F16677"/>
    <w:rsid w:val="00F24AA0"/>
    <w:rsid w:val="00F27547"/>
    <w:rsid w:val="00F40111"/>
    <w:rsid w:val="00F4025E"/>
    <w:rsid w:val="00F41025"/>
    <w:rsid w:val="00F43D91"/>
    <w:rsid w:val="00F60E44"/>
    <w:rsid w:val="00F62A7E"/>
    <w:rsid w:val="00F74571"/>
    <w:rsid w:val="00F747BC"/>
    <w:rsid w:val="00F826AC"/>
    <w:rsid w:val="00F85C06"/>
    <w:rsid w:val="00F86666"/>
    <w:rsid w:val="00F871EA"/>
    <w:rsid w:val="00F92579"/>
    <w:rsid w:val="00FA425E"/>
    <w:rsid w:val="00FB35F2"/>
    <w:rsid w:val="00FC2401"/>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4A5FAC"/>
  <w15:chartTrackingRefBased/>
  <w15:docId w15:val="{5683CE9C-0188-4260-8DFD-34842F1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numbering" w:customStyle="1" w:styleId="Aucuneliste1">
    <w:name w:val="Aucune liste1"/>
    <w:next w:val="Aucuneliste"/>
    <w:uiPriority w:val="99"/>
    <w:semiHidden/>
    <w:unhideWhenUsed/>
    <w:rsid w:val="00723465"/>
  </w:style>
  <w:style w:type="paragraph" w:customStyle="1" w:styleId="Textedebulles1">
    <w:name w:val="Texte de bulles1"/>
    <w:basedOn w:val="Normal"/>
    <w:next w:val="Textedebulles"/>
    <w:link w:val="TextedebullesCar"/>
    <w:uiPriority w:val="99"/>
    <w:semiHidden/>
    <w:unhideWhenUsed/>
    <w:rsid w:val="00723465"/>
    <w:pPr>
      <w:spacing w:after="0" w:line="240" w:lineRule="auto"/>
    </w:pPr>
    <w:rPr>
      <w:rFonts w:ascii="Segoe UI" w:hAnsi="Segoe UI" w:cs="Segoe UI"/>
      <w:sz w:val="18"/>
      <w:szCs w:val="18"/>
      <w:lang w:val="en-GB" w:eastAsia="fr-FR"/>
    </w:rPr>
  </w:style>
  <w:style w:type="character" w:customStyle="1" w:styleId="TextedebullesCar">
    <w:name w:val="Texte de bulles Car"/>
    <w:link w:val="Textedebulles1"/>
    <w:uiPriority w:val="99"/>
    <w:semiHidden/>
    <w:rsid w:val="00723465"/>
    <w:rPr>
      <w:rFonts w:ascii="Segoe UI" w:hAnsi="Segoe UI" w:cs="Segoe UI"/>
      <w:sz w:val="18"/>
      <w:szCs w:val="18"/>
      <w:lang w:val="en-GB"/>
    </w:rPr>
  </w:style>
  <w:style w:type="character" w:styleId="Marquedecommentaire">
    <w:name w:val="annotation reference"/>
    <w:uiPriority w:val="99"/>
    <w:semiHidden/>
    <w:unhideWhenUsed/>
    <w:rsid w:val="00723465"/>
    <w:rPr>
      <w:sz w:val="16"/>
      <w:szCs w:val="16"/>
    </w:rPr>
  </w:style>
  <w:style w:type="paragraph" w:customStyle="1" w:styleId="Rvision1">
    <w:name w:val="Révision1"/>
    <w:next w:val="Rvision"/>
    <w:hidden/>
    <w:uiPriority w:val="99"/>
    <w:semiHidden/>
    <w:rsid w:val="00723465"/>
    <w:rPr>
      <w:sz w:val="22"/>
      <w:szCs w:val="22"/>
      <w:lang w:val="en-GB" w:eastAsia="en-US"/>
    </w:rPr>
  </w:style>
  <w:style w:type="paragraph" w:customStyle="1" w:styleId="pf0">
    <w:name w:val="pf0"/>
    <w:basedOn w:val="Normal"/>
    <w:rsid w:val="007234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f01">
    <w:name w:val="cf01"/>
    <w:rsid w:val="00723465"/>
    <w:rPr>
      <w:rFonts w:ascii="Segoe UI" w:hAnsi="Segoe UI" w:cs="Segoe UI" w:hint="default"/>
      <w:sz w:val="18"/>
      <w:szCs w:val="18"/>
    </w:rPr>
  </w:style>
  <w:style w:type="character" w:customStyle="1" w:styleId="UnresolvedMention1">
    <w:name w:val="Unresolved Mention1"/>
    <w:uiPriority w:val="99"/>
    <w:semiHidden/>
    <w:unhideWhenUsed/>
    <w:rsid w:val="00723465"/>
    <w:rPr>
      <w:color w:val="605E5C"/>
      <w:shd w:val="clear" w:color="auto" w:fill="E1DFDD"/>
    </w:rPr>
  </w:style>
  <w:style w:type="character" w:customStyle="1" w:styleId="Lienhypertextesuivivisit1">
    <w:name w:val="Lien hypertexte suivi visité1"/>
    <w:uiPriority w:val="99"/>
    <w:semiHidden/>
    <w:unhideWhenUsed/>
    <w:rsid w:val="00723465"/>
    <w:rPr>
      <w:color w:val="954F72"/>
      <w:u w:val="single"/>
    </w:rPr>
  </w:style>
  <w:style w:type="table" w:customStyle="1" w:styleId="Grilledutableau1">
    <w:name w:val="Grille du tableau1"/>
    <w:basedOn w:val="TableauNormal"/>
    <w:next w:val="Grilledutableau"/>
    <w:uiPriority w:val="39"/>
    <w:rsid w:val="0072346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rsid w:val="00723465"/>
    <w:rPr>
      <w:rFonts w:ascii="Segoe UI" w:hAnsi="Segoe UI" w:cs="Segoe UI" w:hint="default"/>
      <w:sz w:val="18"/>
      <w:szCs w:val="18"/>
    </w:rPr>
  </w:style>
  <w:style w:type="paragraph" w:customStyle="1" w:styleId="Notedefin1">
    <w:name w:val="Note de fin1"/>
    <w:basedOn w:val="Normal"/>
    <w:next w:val="Notedefin"/>
    <w:link w:val="NotedefinCar"/>
    <w:uiPriority w:val="99"/>
    <w:semiHidden/>
    <w:unhideWhenUsed/>
    <w:rsid w:val="00723465"/>
    <w:pPr>
      <w:spacing w:after="0" w:line="240" w:lineRule="auto"/>
    </w:pPr>
    <w:rPr>
      <w:sz w:val="20"/>
      <w:szCs w:val="20"/>
      <w:lang w:val="en-GB" w:eastAsia="fr-FR"/>
    </w:rPr>
  </w:style>
  <w:style w:type="character" w:customStyle="1" w:styleId="NotedefinCar">
    <w:name w:val="Note de fin Car"/>
    <w:link w:val="Notedefin1"/>
    <w:uiPriority w:val="99"/>
    <w:semiHidden/>
    <w:rsid w:val="00723465"/>
    <w:rPr>
      <w:sz w:val="20"/>
      <w:szCs w:val="20"/>
      <w:lang w:val="en-GB"/>
    </w:rPr>
  </w:style>
  <w:style w:type="character" w:styleId="Appeldenotedefin">
    <w:name w:val="endnote reference"/>
    <w:uiPriority w:val="99"/>
    <w:semiHidden/>
    <w:unhideWhenUsed/>
    <w:rsid w:val="00723465"/>
    <w:rPr>
      <w:vertAlign w:val="superscript"/>
    </w:rPr>
  </w:style>
  <w:style w:type="paragraph" w:styleId="Textedebulles">
    <w:name w:val="Balloon Text"/>
    <w:basedOn w:val="Normal"/>
    <w:link w:val="TextedebullesCar1"/>
    <w:uiPriority w:val="99"/>
    <w:semiHidden/>
    <w:unhideWhenUsed/>
    <w:rsid w:val="00723465"/>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723465"/>
    <w:rPr>
      <w:rFonts w:ascii="Segoe UI" w:hAnsi="Segoe UI" w:cs="Segoe UI"/>
      <w:sz w:val="18"/>
      <w:szCs w:val="18"/>
      <w:lang w:val="fr-LU" w:eastAsia="en-US"/>
    </w:rPr>
  </w:style>
  <w:style w:type="paragraph" w:styleId="Rvision">
    <w:name w:val="Revision"/>
    <w:hidden/>
    <w:uiPriority w:val="99"/>
    <w:semiHidden/>
    <w:rsid w:val="00723465"/>
    <w:rPr>
      <w:sz w:val="22"/>
      <w:szCs w:val="22"/>
      <w:lang w:val="fr-LU" w:eastAsia="en-US"/>
    </w:rPr>
  </w:style>
  <w:style w:type="character" w:styleId="Lienhypertextesuivivisit">
    <w:name w:val="FollowedHyperlink"/>
    <w:uiPriority w:val="99"/>
    <w:semiHidden/>
    <w:unhideWhenUsed/>
    <w:rsid w:val="00723465"/>
    <w:rPr>
      <w:color w:val="96607D"/>
      <w:u w:val="single"/>
    </w:rPr>
  </w:style>
  <w:style w:type="table" w:styleId="Grilledutableau">
    <w:name w:val="Table Grid"/>
    <w:basedOn w:val="TableauNormal"/>
    <w:uiPriority w:val="39"/>
    <w:rsid w:val="0072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1"/>
    <w:uiPriority w:val="99"/>
    <w:semiHidden/>
    <w:unhideWhenUsed/>
    <w:rsid w:val="00723465"/>
    <w:rPr>
      <w:sz w:val="20"/>
      <w:szCs w:val="20"/>
    </w:rPr>
  </w:style>
  <w:style w:type="character" w:customStyle="1" w:styleId="NotedefinCar1">
    <w:name w:val="Note de fin Car1"/>
    <w:link w:val="Notedefin"/>
    <w:uiPriority w:val="99"/>
    <w:semiHidden/>
    <w:rsid w:val="00723465"/>
    <w:rPr>
      <w:lang w:val="fr-LU" w:eastAsia="en-US"/>
    </w:rPr>
  </w:style>
  <w:style w:type="numbering" w:customStyle="1" w:styleId="Aucuneliste2">
    <w:name w:val="Aucune liste2"/>
    <w:next w:val="Aucuneliste"/>
    <w:uiPriority w:val="99"/>
    <w:semiHidden/>
    <w:unhideWhenUsed/>
    <w:rsid w:val="00F029A2"/>
  </w:style>
  <w:style w:type="table" w:customStyle="1" w:styleId="Grilledutableau2">
    <w:name w:val="Grille du tableau2"/>
    <w:basedOn w:val="TableauNormal"/>
    <w:next w:val="Grilledutableau"/>
    <w:uiPriority w:val="39"/>
    <w:rsid w:val="00F029A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customXml/itemProps2.xml><?xml version="1.0" encoding="utf-8"?>
<ds:datastoreItem xmlns:ds="http://schemas.openxmlformats.org/officeDocument/2006/customXml" ds:itemID="{38A52B24-1583-4BDF-98CB-1B139BAF2537}"/>
</file>

<file path=customXml/itemProps3.xml><?xml version="1.0" encoding="utf-8"?>
<ds:datastoreItem xmlns:ds="http://schemas.openxmlformats.org/officeDocument/2006/customXml" ds:itemID="{732F4383-D8F5-4F46-9CEC-C5DC11291528}"/>
</file>

<file path=customXml/itemProps4.xml><?xml version="1.0" encoding="utf-8"?>
<ds:datastoreItem xmlns:ds="http://schemas.openxmlformats.org/officeDocument/2006/customXml" ds:itemID="{67FAC315-FAE7-47BC-9E9B-B155BFFC32C9}"/>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4758</Characters>
  <Application>Microsoft Office Word</Application>
  <DocSecurity>4</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2019-11-08T08:17:00Z</cp:lastPrinted>
  <dcterms:created xsi:type="dcterms:W3CDTF">2025-01-14T14:54:00Z</dcterms:created>
  <dcterms:modified xsi:type="dcterms:W3CDTF">2025-01-14T14:54:00Z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