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BDB3A" w14:textId="77777777" w:rsidR="006A1F4E" w:rsidRPr="006A1F4E" w:rsidRDefault="006A1F4E" w:rsidP="006A1F4E">
      <w:pPr>
        <w:spacing w:after="0" w:line="240" w:lineRule="auto"/>
        <w:ind w:left="284" w:hanging="284"/>
        <w:jc w:val="center"/>
        <w:rPr>
          <w:rFonts w:ascii="Arial" w:eastAsia="Calibri" w:hAnsi="Arial" w:cs="Arial"/>
          <w:b/>
          <w:bCs/>
          <w:color w:val="000000"/>
          <w:kern w:val="0"/>
          <w:lang w:eastAsia="fr-FR"/>
        </w:rPr>
      </w:pPr>
      <w:bookmarkStart w:id="0" w:name="_Hlk58182979"/>
      <w:r w:rsidRPr="006A1F4E">
        <w:rPr>
          <w:rFonts w:ascii="Arial" w:eastAsia="Calibri" w:hAnsi="Arial" w:cs="Arial"/>
          <w:b/>
          <w:bCs/>
          <w:color w:val="000000"/>
          <w:kern w:val="0"/>
          <w:lang w:eastAsia="fr-FR"/>
        </w:rPr>
        <w:t xml:space="preserve">Projet de loi </w:t>
      </w:r>
      <w:r w:rsidRPr="006A1F4E">
        <w:rPr>
          <w:rFonts w:ascii="Arial" w:eastAsia="Times New Roman" w:hAnsi="Arial" w:cs="Arial"/>
          <w:b/>
          <w:bCs/>
          <w:color w:val="000000"/>
          <w:kern w:val="0"/>
          <w:lang w:eastAsia="fr-FR"/>
        </w:rPr>
        <w:t xml:space="preserve">n°8383 </w:t>
      </w:r>
      <w:r w:rsidRPr="006A1F4E">
        <w:rPr>
          <w:rFonts w:ascii="Arial" w:eastAsia="Calibri" w:hAnsi="Arial" w:cs="Arial"/>
          <w:b/>
          <w:bCs/>
          <w:color w:val="000000"/>
          <w:kern w:val="0"/>
          <w:lang w:eastAsia="fr-FR"/>
        </w:rPr>
        <w:t xml:space="preserve">concernant le budget des recettes et des dépenses de l’État </w:t>
      </w:r>
    </w:p>
    <w:p w14:paraId="520634BC" w14:textId="77777777" w:rsidR="006A1F4E" w:rsidRPr="006A1F4E" w:rsidRDefault="006A1F4E" w:rsidP="006A1F4E">
      <w:pPr>
        <w:spacing w:after="0" w:line="240" w:lineRule="auto"/>
        <w:ind w:left="284" w:hanging="284"/>
        <w:jc w:val="center"/>
        <w:rPr>
          <w:rFonts w:ascii="Arial" w:eastAsia="Calibri" w:hAnsi="Arial" w:cs="Arial"/>
          <w:b/>
          <w:bCs/>
          <w:color w:val="000000"/>
          <w:kern w:val="0"/>
          <w:lang w:eastAsia="fr-FR"/>
        </w:rPr>
      </w:pPr>
      <w:proofErr w:type="gramStart"/>
      <w:r w:rsidRPr="006A1F4E">
        <w:rPr>
          <w:rFonts w:ascii="Arial" w:eastAsia="Calibri" w:hAnsi="Arial" w:cs="Arial"/>
          <w:b/>
          <w:bCs/>
          <w:color w:val="000000"/>
          <w:kern w:val="0"/>
          <w:lang w:eastAsia="fr-FR"/>
        </w:rPr>
        <w:t>pour</w:t>
      </w:r>
      <w:proofErr w:type="gramEnd"/>
      <w:r w:rsidRPr="006A1F4E">
        <w:rPr>
          <w:rFonts w:ascii="Arial" w:eastAsia="Calibri" w:hAnsi="Arial" w:cs="Arial"/>
          <w:b/>
          <w:bCs/>
          <w:color w:val="000000"/>
          <w:kern w:val="0"/>
          <w:lang w:eastAsia="fr-FR"/>
        </w:rPr>
        <w:t xml:space="preserve"> l’exercice 2024 et modifiant :</w:t>
      </w:r>
    </w:p>
    <w:p w14:paraId="5321E317" w14:textId="77777777" w:rsidR="006A1F4E" w:rsidRPr="006A1F4E" w:rsidRDefault="006A1F4E" w:rsidP="006A1F4E">
      <w:pPr>
        <w:tabs>
          <w:tab w:val="left" w:pos="284"/>
        </w:tabs>
        <w:autoSpaceDE w:val="0"/>
        <w:autoSpaceDN w:val="0"/>
        <w:adjustRightInd w:val="0"/>
        <w:spacing w:after="0" w:line="240" w:lineRule="auto"/>
        <w:ind w:hanging="284"/>
        <w:rPr>
          <w:rFonts w:ascii="Arial" w:eastAsia="Calibri" w:hAnsi="Arial" w:cs="Arial"/>
          <w:b/>
          <w:bCs/>
          <w:color w:val="000000"/>
          <w:kern w:val="0"/>
          <w:lang w:eastAsia="fr-FR"/>
        </w:rPr>
      </w:pPr>
    </w:p>
    <w:p w14:paraId="5611DE8B" w14:textId="77777777" w:rsidR="006A1F4E" w:rsidRPr="006A1F4E" w:rsidRDefault="006A1F4E" w:rsidP="006A1F4E">
      <w:pPr>
        <w:numPr>
          <w:ilvl w:val="0"/>
          <w:numId w:val="1"/>
        </w:numPr>
        <w:spacing w:after="0" w:line="240" w:lineRule="auto"/>
        <w:ind w:hanging="284"/>
        <w:contextualSpacing/>
        <w:jc w:val="both"/>
        <w:rPr>
          <w:rFonts w:ascii="Arial" w:eastAsia="Calibri" w:hAnsi="Arial" w:cs="Arial"/>
          <w:b/>
          <w:bCs/>
          <w:color w:val="000000"/>
          <w:kern w:val="0"/>
          <w:lang w:eastAsia="fr-FR"/>
        </w:rPr>
      </w:pPr>
      <w:bookmarkStart w:id="1" w:name="_Hlk158814153"/>
      <w:proofErr w:type="gramStart"/>
      <w:r w:rsidRPr="006A1F4E">
        <w:rPr>
          <w:rFonts w:ascii="Arial" w:eastAsia="Calibri" w:hAnsi="Arial" w:cs="Arial"/>
          <w:b/>
          <w:bCs/>
          <w:color w:val="000000"/>
          <w:kern w:val="0"/>
          <w:lang w:eastAsia="fr-FR"/>
        </w:rPr>
        <w:t>la</w:t>
      </w:r>
      <w:proofErr w:type="gramEnd"/>
      <w:r w:rsidRPr="006A1F4E">
        <w:rPr>
          <w:rFonts w:ascii="Arial" w:eastAsia="Calibri" w:hAnsi="Arial" w:cs="Arial"/>
          <w:b/>
          <w:bCs/>
          <w:color w:val="000000"/>
          <w:kern w:val="0"/>
          <w:lang w:eastAsia="fr-FR"/>
        </w:rPr>
        <w:t xml:space="preserve"> loi modifiée du 17 décembre 2010 fixant les droits d’accise et les taxes assimilées sur les produits énergétiques, l’électricité, les produits de tabacs manufacturés, l’alcool et les boissons alcooliques ;</w:t>
      </w:r>
    </w:p>
    <w:p w14:paraId="069357A3" w14:textId="77777777" w:rsidR="006A1F4E" w:rsidRPr="006A1F4E" w:rsidRDefault="006A1F4E" w:rsidP="006A1F4E">
      <w:pPr>
        <w:numPr>
          <w:ilvl w:val="0"/>
          <w:numId w:val="1"/>
        </w:numPr>
        <w:spacing w:after="0" w:line="240" w:lineRule="auto"/>
        <w:ind w:hanging="284"/>
        <w:contextualSpacing/>
        <w:jc w:val="both"/>
        <w:rPr>
          <w:rFonts w:ascii="Arial" w:eastAsia="Calibri" w:hAnsi="Arial" w:cs="Arial"/>
          <w:b/>
          <w:bCs/>
          <w:color w:val="000000"/>
          <w:kern w:val="0"/>
          <w:lang w:eastAsia="fr-FR"/>
        </w:rPr>
      </w:pPr>
      <w:proofErr w:type="gramStart"/>
      <w:r w:rsidRPr="006A1F4E">
        <w:rPr>
          <w:rFonts w:ascii="Arial" w:eastAsia="Calibri" w:hAnsi="Arial" w:cs="Arial"/>
          <w:b/>
          <w:bCs/>
          <w:color w:val="000000"/>
          <w:kern w:val="0"/>
          <w:lang w:eastAsia="fr-FR"/>
        </w:rPr>
        <w:t>la</w:t>
      </w:r>
      <w:proofErr w:type="gramEnd"/>
      <w:r w:rsidRPr="006A1F4E">
        <w:rPr>
          <w:rFonts w:ascii="Arial" w:eastAsia="Calibri" w:hAnsi="Arial" w:cs="Arial"/>
          <w:b/>
          <w:bCs/>
          <w:color w:val="000000"/>
          <w:kern w:val="0"/>
          <w:lang w:eastAsia="fr-FR"/>
        </w:rPr>
        <w:t xml:space="preserve"> loi modifiée du 14 décembre 2016 portant création d’un Fonds de dotation globale des communes ;</w:t>
      </w:r>
    </w:p>
    <w:p w14:paraId="5D95B339" w14:textId="77777777" w:rsidR="006A1F4E" w:rsidRPr="006A1F4E" w:rsidRDefault="006A1F4E" w:rsidP="006A1F4E">
      <w:pPr>
        <w:numPr>
          <w:ilvl w:val="0"/>
          <w:numId w:val="1"/>
        </w:numPr>
        <w:spacing w:after="0" w:line="240" w:lineRule="auto"/>
        <w:ind w:hanging="284"/>
        <w:contextualSpacing/>
        <w:jc w:val="both"/>
        <w:rPr>
          <w:rFonts w:ascii="Arial" w:eastAsia="Calibri" w:hAnsi="Arial" w:cs="Arial"/>
          <w:b/>
          <w:bCs/>
          <w:color w:val="000000"/>
          <w:kern w:val="0"/>
          <w:lang w:eastAsia="fr-FR"/>
        </w:rPr>
      </w:pPr>
      <w:proofErr w:type="gramStart"/>
      <w:r w:rsidRPr="006A1F4E">
        <w:rPr>
          <w:rFonts w:ascii="Arial" w:eastAsia="Calibri" w:hAnsi="Arial" w:cs="Arial"/>
          <w:b/>
          <w:bCs/>
          <w:color w:val="000000"/>
          <w:kern w:val="0"/>
          <w:lang w:eastAsia="fr-FR"/>
        </w:rPr>
        <w:t>la</w:t>
      </w:r>
      <w:proofErr w:type="gramEnd"/>
      <w:r w:rsidRPr="006A1F4E">
        <w:rPr>
          <w:rFonts w:ascii="Arial" w:eastAsia="Calibri" w:hAnsi="Arial" w:cs="Arial"/>
          <w:b/>
          <w:bCs/>
          <w:color w:val="000000"/>
          <w:kern w:val="0"/>
          <w:lang w:eastAsia="fr-FR"/>
        </w:rPr>
        <w:t xml:space="preserve"> loi modifiée du 21 décembre 1998 concernant le budget des recettes et des dépenses de l’État pour l’exercice 1999 ;</w:t>
      </w:r>
    </w:p>
    <w:bookmarkEnd w:id="1"/>
    <w:p w14:paraId="53097596" w14:textId="77777777" w:rsidR="006A1F4E" w:rsidRPr="006A1F4E" w:rsidRDefault="006A1F4E" w:rsidP="006A1F4E">
      <w:pPr>
        <w:numPr>
          <w:ilvl w:val="0"/>
          <w:numId w:val="1"/>
        </w:numPr>
        <w:spacing w:after="0" w:line="240" w:lineRule="auto"/>
        <w:ind w:hanging="284"/>
        <w:contextualSpacing/>
        <w:jc w:val="both"/>
        <w:rPr>
          <w:rFonts w:ascii="Arial" w:eastAsia="Calibri" w:hAnsi="Arial" w:cs="Arial"/>
          <w:b/>
          <w:bCs/>
          <w:color w:val="000000"/>
          <w:kern w:val="0"/>
          <w:lang w:eastAsia="fr-FR"/>
        </w:rPr>
      </w:pPr>
      <w:proofErr w:type="gramStart"/>
      <w:r w:rsidRPr="006A1F4E">
        <w:rPr>
          <w:rFonts w:ascii="Arial" w:eastAsia="Calibri" w:hAnsi="Arial" w:cs="Arial"/>
          <w:b/>
          <w:bCs/>
          <w:color w:val="000000"/>
          <w:kern w:val="0"/>
          <w:lang w:eastAsia="fr-FR"/>
        </w:rPr>
        <w:t>la</w:t>
      </w:r>
      <w:proofErr w:type="gramEnd"/>
      <w:r w:rsidRPr="006A1F4E">
        <w:rPr>
          <w:rFonts w:ascii="Arial" w:eastAsia="Calibri" w:hAnsi="Arial" w:cs="Arial"/>
          <w:b/>
          <w:bCs/>
          <w:color w:val="000000"/>
          <w:kern w:val="0"/>
          <w:lang w:eastAsia="fr-FR"/>
        </w:rPr>
        <w:t xml:space="preserve"> loi modifiée du 25 mars 2020 portant création du Fonds spécial de soutien au développement du logement</w:t>
      </w:r>
    </w:p>
    <w:p w14:paraId="2CF0DA34" w14:textId="77777777" w:rsidR="006A1F4E" w:rsidRPr="006A1F4E" w:rsidRDefault="006A1F4E" w:rsidP="006A1F4E">
      <w:pPr>
        <w:tabs>
          <w:tab w:val="left" w:pos="284"/>
        </w:tabs>
        <w:autoSpaceDE w:val="0"/>
        <w:autoSpaceDN w:val="0"/>
        <w:adjustRightInd w:val="0"/>
        <w:spacing w:after="0" w:line="240" w:lineRule="auto"/>
        <w:rPr>
          <w:rFonts w:ascii="Arial" w:eastAsia="Times New Roman" w:hAnsi="Arial" w:cs="Arial"/>
          <w:b/>
          <w:bCs/>
          <w:color w:val="0070C0"/>
          <w:kern w:val="0"/>
          <w:lang w:eastAsia="fr-FR"/>
        </w:rPr>
      </w:pPr>
    </w:p>
    <w:bookmarkEnd w:id="0"/>
    <w:p w14:paraId="2EEFC725" w14:textId="77777777" w:rsidR="006A1F4E" w:rsidRPr="006A1F4E" w:rsidRDefault="006A1F4E" w:rsidP="006A1F4E">
      <w:pPr>
        <w:spacing w:after="0" w:line="240" w:lineRule="auto"/>
        <w:jc w:val="both"/>
        <w:rPr>
          <w:rFonts w:ascii="Arial" w:eastAsia="Times New Roman" w:hAnsi="Arial" w:cs="Arial"/>
          <w:color w:val="0070C0"/>
          <w:kern w:val="0"/>
          <w:lang w:eastAsia="fr-FR"/>
        </w:rPr>
      </w:pPr>
    </w:p>
    <w:p w14:paraId="3FB7B081" w14:textId="77777777" w:rsidR="006A1F4E" w:rsidRPr="006A1F4E" w:rsidRDefault="006A1F4E" w:rsidP="006A1F4E">
      <w:pPr>
        <w:widowControl w:val="0"/>
        <w:tabs>
          <w:tab w:val="left" w:pos="10080"/>
          <w:tab w:val="left" w:pos="10800"/>
        </w:tabs>
        <w:spacing w:after="0" w:line="240" w:lineRule="auto"/>
        <w:ind w:right="159"/>
        <w:jc w:val="both"/>
        <w:rPr>
          <w:rFonts w:ascii="Arial" w:eastAsia="Calibri" w:hAnsi="Arial" w:cs="Arial"/>
          <w:color w:val="000000"/>
          <w:kern w:val="0"/>
          <w:lang w:eastAsia="fr-FR"/>
        </w:rPr>
      </w:pPr>
      <w:r w:rsidRPr="006A1F4E">
        <w:rPr>
          <w:rFonts w:ascii="Arial" w:eastAsia="Calibri" w:hAnsi="Arial" w:cs="Arial"/>
          <w:color w:val="000000"/>
          <w:kern w:val="0"/>
          <w:lang w:eastAsia="fr-FR"/>
        </w:rPr>
        <w:t>Le budget de l'État pour l'exercice 2024 est arrêté aux montants suivants :</w:t>
      </w:r>
    </w:p>
    <w:p w14:paraId="04FB2B72" w14:textId="77777777" w:rsidR="006A1F4E" w:rsidRPr="006A1F4E" w:rsidRDefault="006A1F4E" w:rsidP="006A1F4E">
      <w:pPr>
        <w:widowControl w:val="0"/>
        <w:tabs>
          <w:tab w:val="left" w:pos="10080"/>
          <w:tab w:val="left" w:pos="10800"/>
        </w:tabs>
        <w:spacing w:after="0" w:line="240" w:lineRule="auto"/>
        <w:ind w:right="159"/>
        <w:jc w:val="both"/>
        <w:rPr>
          <w:rFonts w:ascii="Arial" w:eastAsia="Calibri" w:hAnsi="Arial" w:cs="Arial"/>
          <w:color w:val="000000"/>
          <w:kern w:val="0"/>
          <w:lang w:eastAsia="fr-FR"/>
        </w:rPr>
      </w:pPr>
    </w:p>
    <w:tbl>
      <w:tblPr>
        <w:tblW w:w="11613" w:type="dxa"/>
        <w:tblInd w:w="213" w:type="dxa"/>
        <w:tblLayout w:type="fixed"/>
        <w:tblCellMar>
          <w:left w:w="71" w:type="dxa"/>
          <w:right w:w="71" w:type="dxa"/>
        </w:tblCellMar>
        <w:tblLook w:val="0000" w:firstRow="0" w:lastRow="0" w:firstColumn="0" w:lastColumn="0" w:noHBand="0" w:noVBand="0"/>
      </w:tblPr>
      <w:tblGrid>
        <w:gridCol w:w="4323"/>
        <w:gridCol w:w="1843"/>
        <w:gridCol w:w="1111"/>
        <w:gridCol w:w="1798"/>
        <w:gridCol w:w="673"/>
        <w:gridCol w:w="1865"/>
      </w:tblGrid>
      <w:tr w:rsidR="006A1F4E" w:rsidRPr="006A1F4E" w14:paraId="476C1319" w14:textId="77777777" w:rsidTr="004B0903">
        <w:tc>
          <w:tcPr>
            <w:tcW w:w="4323" w:type="dxa"/>
          </w:tcPr>
          <w:p w14:paraId="32BE5B14" w14:textId="77777777" w:rsidR="006A1F4E" w:rsidRPr="006A1F4E" w:rsidRDefault="006A1F4E" w:rsidP="006A1F4E">
            <w:pPr>
              <w:widowControl w:val="0"/>
              <w:tabs>
                <w:tab w:val="left" w:leader="dot" w:pos="3401"/>
                <w:tab w:val="left" w:pos="10080"/>
                <w:tab w:val="left" w:pos="10800"/>
              </w:tabs>
              <w:spacing w:after="0" w:line="240" w:lineRule="auto"/>
              <w:jc w:val="both"/>
              <w:rPr>
                <w:rFonts w:ascii="Arial" w:eastAsia="Calibri" w:hAnsi="Arial" w:cs="Arial"/>
                <w:color w:val="000000"/>
                <w:kern w:val="0"/>
                <w:lang w:eastAsia="fr-FR"/>
              </w:rPr>
            </w:pPr>
            <w:r w:rsidRPr="006A1F4E">
              <w:rPr>
                <w:rFonts w:ascii="Arial" w:eastAsia="Calibri" w:hAnsi="Arial" w:cs="Arial"/>
                <w:color w:val="000000"/>
                <w:kern w:val="0"/>
                <w:lang w:eastAsia="fr-FR"/>
              </w:rPr>
              <w:t>- Recettes courantes</w:t>
            </w:r>
            <w:r w:rsidRPr="006A1F4E">
              <w:rPr>
                <w:rFonts w:ascii="Arial" w:eastAsia="Calibri" w:hAnsi="Arial" w:cs="Arial"/>
                <w:color w:val="000000"/>
                <w:kern w:val="0"/>
                <w:lang w:eastAsia="fr-FR"/>
              </w:rPr>
              <w:tab/>
            </w:r>
          </w:p>
        </w:tc>
        <w:tc>
          <w:tcPr>
            <w:tcW w:w="1843" w:type="dxa"/>
          </w:tcPr>
          <w:p w14:paraId="4BB8DD9D"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r w:rsidRPr="006A1F4E">
              <w:rPr>
                <w:rFonts w:ascii="Arial" w:eastAsia="Calibri" w:hAnsi="Arial" w:cs="Arial"/>
                <w:color w:val="000000"/>
                <w:kern w:val="0"/>
                <w:lang w:eastAsia="fr-FR"/>
              </w:rPr>
              <w:t>23 803 214 983</w:t>
            </w:r>
          </w:p>
        </w:tc>
        <w:tc>
          <w:tcPr>
            <w:tcW w:w="1111" w:type="dxa"/>
          </w:tcPr>
          <w:p w14:paraId="0E1AB797"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roofErr w:type="gramStart"/>
            <w:r w:rsidRPr="006A1F4E">
              <w:rPr>
                <w:rFonts w:ascii="Arial" w:eastAsia="Calibri" w:hAnsi="Arial" w:cs="Arial"/>
                <w:color w:val="000000"/>
                <w:kern w:val="0"/>
                <w:lang w:eastAsia="fr-FR"/>
              </w:rPr>
              <w:t>euros</w:t>
            </w:r>
            <w:proofErr w:type="gramEnd"/>
          </w:p>
        </w:tc>
        <w:tc>
          <w:tcPr>
            <w:tcW w:w="1798" w:type="dxa"/>
          </w:tcPr>
          <w:p w14:paraId="3201D062"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0AA3FFBE" w14:textId="77777777" w:rsidR="006A1F4E" w:rsidRPr="006A1F4E" w:rsidRDefault="006A1F4E" w:rsidP="006A1F4E">
            <w:pPr>
              <w:widowControl w:val="0"/>
              <w:tabs>
                <w:tab w:val="left" w:pos="10080"/>
                <w:tab w:val="left" w:pos="10800"/>
              </w:tabs>
              <w:spacing w:after="0" w:line="240" w:lineRule="auto"/>
              <w:ind w:left="-443" w:hanging="284"/>
              <w:jc w:val="both"/>
              <w:rPr>
                <w:rFonts w:ascii="Arial" w:eastAsia="Calibri" w:hAnsi="Arial" w:cs="Arial"/>
                <w:color w:val="000000"/>
                <w:kern w:val="0"/>
                <w:lang w:eastAsia="fr-FR"/>
              </w:rPr>
            </w:pPr>
          </w:p>
        </w:tc>
        <w:tc>
          <w:tcPr>
            <w:tcW w:w="1865" w:type="dxa"/>
          </w:tcPr>
          <w:p w14:paraId="5096E215" w14:textId="77777777" w:rsidR="006A1F4E" w:rsidRPr="006A1F4E" w:rsidRDefault="006A1F4E" w:rsidP="006A1F4E">
            <w:pPr>
              <w:widowControl w:val="0"/>
              <w:tabs>
                <w:tab w:val="left" w:pos="10080"/>
                <w:tab w:val="left" w:pos="10800"/>
              </w:tabs>
              <w:spacing w:after="0" w:line="240" w:lineRule="auto"/>
              <w:rPr>
                <w:rFonts w:ascii="Arial" w:eastAsia="Calibri" w:hAnsi="Arial" w:cs="Arial"/>
                <w:color w:val="000000"/>
                <w:kern w:val="0"/>
                <w:lang w:eastAsia="fr-FR"/>
              </w:rPr>
            </w:pPr>
          </w:p>
        </w:tc>
      </w:tr>
      <w:tr w:rsidR="006A1F4E" w:rsidRPr="006A1F4E" w14:paraId="1CC231FE" w14:textId="77777777" w:rsidTr="004B0903">
        <w:tc>
          <w:tcPr>
            <w:tcW w:w="4323" w:type="dxa"/>
          </w:tcPr>
          <w:p w14:paraId="18258D43" w14:textId="77777777" w:rsidR="006A1F4E" w:rsidRPr="006A1F4E" w:rsidRDefault="006A1F4E" w:rsidP="006A1F4E">
            <w:pPr>
              <w:widowControl w:val="0"/>
              <w:tabs>
                <w:tab w:val="left" w:leader="dot" w:pos="3401"/>
                <w:tab w:val="left" w:pos="10080"/>
                <w:tab w:val="left" w:pos="10800"/>
              </w:tabs>
              <w:spacing w:after="0" w:line="240" w:lineRule="auto"/>
              <w:jc w:val="both"/>
              <w:rPr>
                <w:rFonts w:ascii="Arial" w:eastAsia="Calibri" w:hAnsi="Arial" w:cs="Arial"/>
                <w:color w:val="000000"/>
                <w:kern w:val="0"/>
                <w:lang w:eastAsia="fr-FR"/>
              </w:rPr>
            </w:pPr>
            <w:r w:rsidRPr="006A1F4E">
              <w:rPr>
                <w:rFonts w:ascii="Arial" w:eastAsia="Calibri" w:hAnsi="Arial" w:cs="Arial"/>
                <w:color w:val="000000"/>
                <w:kern w:val="0"/>
                <w:lang w:eastAsia="fr-FR"/>
              </w:rPr>
              <w:t>- Recettes en capital</w:t>
            </w:r>
            <w:r w:rsidRPr="006A1F4E">
              <w:rPr>
                <w:rFonts w:ascii="Arial" w:eastAsia="Calibri" w:hAnsi="Arial" w:cs="Arial"/>
                <w:color w:val="000000"/>
                <w:kern w:val="0"/>
                <w:lang w:eastAsia="fr-FR"/>
              </w:rPr>
              <w:tab/>
            </w:r>
          </w:p>
        </w:tc>
        <w:tc>
          <w:tcPr>
            <w:tcW w:w="1843" w:type="dxa"/>
          </w:tcPr>
          <w:p w14:paraId="73A8FB62"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r w:rsidRPr="006A1F4E">
              <w:rPr>
                <w:rFonts w:ascii="Arial" w:eastAsia="Calibri" w:hAnsi="Arial" w:cs="Arial"/>
                <w:color w:val="000000"/>
                <w:kern w:val="0"/>
                <w:lang w:eastAsia="fr-FR"/>
              </w:rPr>
              <w:t>187 246 600</w:t>
            </w:r>
          </w:p>
        </w:tc>
        <w:tc>
          <w:tcPr>
            <w:tcW w:w="1111" w:type="dxa"/>
          </w:tcPr>
          <w:p w14:paraId="34C0D9B6"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roofErr w:type="gramStart"/>
            <w:r w:rsidRPr="006A1F4E">
              <w:rPr>
                <w:rFonts w:ascii="Arial" w:eastAsia="Calibri" w:hAnsi="Arial" w:cs="Arial"/>
                <w:color w:val="000000"/>
                <w:kern w:val="0"/>
                <w:lang w:eastAsia="fr-FR"/>
              </w:rPr>
              <w:t>euros</w:t>
            </w:r>
            <w:proofErr w:type="gramEnd"/>
          </w:p>
        </w:tc>
        <w:tc>
          <w:tcPr>
            <w:tcW w:w="1798" w:type="dxa"/>
          </w:tcPr>
          <w:p w14:paraId="656CDF60"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1CC251ED"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865" w:type="dxa"/>
          </w:tcPr>
          <w:p w14:paraId="65CDA1B9" w14:textId="77777777" w:rsidR="006A1F4E" w:rsidRPr="006A1F4E" w:rsidRDefault="006A1F4E" w:rsidP="006A1F4E">
            <w:pPr>
              <w:widowControl w:val="0"/>
              <w:tabs>
                <w:tab w:val="left" w:pos="10080"/>
                <w:tab w:val="left" w:pos="10800"/>
              </w:tabs>
              <w:spacing w:after="0" w:line="240" w:lineRule="auto"/>
              <w:rPr>
                <w:rFonts w:ascii="Arial" w:eastAsia="Calibri" w:hAnsi="Arial" w:cs="Arial"/>
                <w:color w:val="000000"/>
                <w:kern w:val="0"/>
                <w:lang w:eastAsia="fr-FR"/>
              </w:rPr>
            </w:pPr>
          </w:p>
        </w:tc>
      </w:tr>
      <w:tr w:rsidR="006A1F4E" w:rsidRPr="006A1F4E" w14:paraId="5D8C308E" w14:textId="77777777" w:rsidTr="004B0903">
        <w:trPr>
          <w:trHeight w:val="277"/>
        </w:trPr>
        <w:tc>
          <w:tcPr>
            <w:tcW w:w="4323" w:type="dxa"/>
          </w:tcPr>
          <w:p w14:paraId="61049372" w14:textId="77777777" w:rsidR="006A1F4E" w:rsidRPr="006A1F4E" w:rsidRDefault="006A1F4E" w:rsidP="006A1F4E">
            <w:pPr>
              <w:widowControl w:val="0"/>
              <w:tabs>
                <w:tab w:val="left" w:leader="dot" w:pos="3401"/>
                <w:tab w:val="left" w:pos="10080"/>
                <w:tab w:val="left" w:pos="10800"/>
              </w:tabs>
              <w:spacing w:after="0" w:line="240" w:lineRule="auto"/>
              <w:rPr>
                <w:rFonts w:ascii="Arial" w:eastAsia="Calibri" w:hAnsi="Arial" w:cs="Arial"/>
                <w:color w:val="000000"/>
                <w:kern w:val="0"/>
                <w:lang w:eastAsia="fr-FR"/>
              </w:rPr>
            </w:pPr>
            <w:r w:rsidRPr="006A1F4E">
              <w:rPr>
                <w:rFonts w:ascii="Arial" w:eastAsia="Calibri" w:hAnsi="Arial" w:cs="Arial"/>
                <w:color w:val="000000"/>
                <w:kern w:val="0"/>
                <w:lang w:eastAsia="fr-FR"/>
              </w:rPr>
              <w:t>- Recettes des opérations financières</w:t>
            </w:r>
          </w:p>
        </w:tc>
        <w:tc>
          <w:tcPr>
            <w:tcW w:w="1843" w:type="dxa"/>
          </w:tcPr>
          <w:p w14:paraId="079962C5"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r w:rsidRPr="006A1F4E">
              <w:rPr>
                <w:rFonts w:ascii="Arial" w:eastAsia="Calibri" w:hAnsi="Arial" w:cs="Arial"/>
                <w:color w:val="000000"/>
                <w:kern w:val="0"/>
                <w:lang w:eastAsia="fr-FR"/>
              </w:rPr>
              <w:t>2 500 385 700</w:t>
            </w:r>
          </w:p>
        </w:tc>
        <w:tc>
          <w:tcPr>
            <w:tcW w:w="1111" w:type="dxa"/>
          </w:tcPr>
          <w:p w14:paraId="226ED7B1"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roofErr w:type="gramStart"/>
            <w:r w:rsidRPr="006A1F4E">
              <w:rPr>
                <w:rFonts w:ascii="Arial" w:eastAsia="Calibri" w:hAnsi="Arial" w:cs="Arial"/>
                <w:color w:val="000000"/>
                <w:kern w:val="0"/>
                <w:lang w:eastAsia="fr-FR"/>
              </w:rPr>
              <w:t>euros</w:t>
            </w:r>
            <w:proofErr w:type="gramEnd"/>
          </w:p>
        </w:tc>
        <w:tc>
          <w:tcPr>
            <w:tcW w:w="1798" w:type="dxa"/>
          </w:tcPr>
          <w:p w14:paraId="115556A7"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11EA04BC"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865" w:type="dxa"/>
          </w:tcPr>
          <w:p w14:paraId="59C45F63" w14:textId="77777777" w:rsidR="006A1F4E" w:rsidRPr="006A1F4E" w:rsidRDefault="006A1F4E" w:rsidP="006A1F4E">
            <w:pPr>
              <w:widowControl w:val="0"/>
              <w:tabs>
                <w:tab w:val="left" w:pos="10080"/>
                <w:tab w:val="left" w:pos="10800"/>
              </w:tabs>
              <w:spacing w:after="0" w:line="240" w:lineRule="auto"/>
              <w:rPr>
                <w:rFonts w:ascii="Arial" w:eastAsia="Calibri" w:hAnsi="Arial" w:cs="Arial"/>
                <w:color w:val="000000"/>
                <w:kern w:val="0"/>
                <w:lang w:eastAsia="fr-FR"/>
              </w:rPr>
            </w:pPr>
          </w:p>
        </w:tc>
      </w:tr>
      <w:tr w:rsidR="006A1F4E" w:rsidRPr="006A1F4E" w14:paraId="6347A69C" w14:textId="77777777" w:rsidTr="004B0903">
        <w:trPr>
          <w:trHeight w:val="277"/>
        </w:trPr>
        <w:tc>
          <w:tcPr>
            <w:tcW w:w="4323" w:type="dxa"/>
          </w:tcPr>
          <w:p w14:paraId="662F9E63" w14:textId="77777777" w:rsidR="006A1F4E" w:rsidRPr="006A1F4E" w:rsidRDefault="006A1F4E" w:rsidP="006A1F4E">
            <w:pPr>
              <w:widowControl w:val="0"/>
              <w:tabs>
                <w:tab w:val="left" w:leader="dot" w:pos="2835"/>
                <w:tab w:val="left" w:leader="dot" w:pos="3401"/>
                <w:tab w:val="left" w:pos="10080"/>
                <w:tab w:val="left" w:pos="10800"/>
              </w:tabs>
              <w:spacing w:after="0" w:line="240" w:lineRule="auto"/>
              <w:jc w:val="both"/>
              <w:rPr>
                <w:rFonts w:ascii="Arial" w:eastAsia="Calibri" w:hAnsi="Arial" w:cs="Arial"/>
                <w:color w:val="000000"/>
                <w:kern w:val="0"/>
                <w:lang w:eastAsia="fr-FR"/>
              </w:rPr>
            </w:pPr>
          </w:p>
        </w:tc>
        <w:tc>
          <w:tcPr>
            <w:tcW w:w="1843" w:type="dxa"/>
          </w:tcPr>
          <w:p w14:paraId="4BDC1DE5"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1111" w:type="dxa"/>
          </w:tcPr>
          <w:p w14:paraId="5673C38A"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798" w:type="dxa"/>
          </w:tcPr>
          <w:p w14:paraId="32216DCF"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477E6E86"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865" w:type="dxa"/>
          </w:tcPr>
          <w:p w14:paraId="5862D9BA" w14:textId="77777777" w:rsidR="006A1F4E" w:rsidRPr="006A1F4E" w:rsidRDefault="006A1F4E" w:rsidP="006A1F4E">
            <w:pPr>
              <w:widowControl w:val="0"/>
              <w:tabs>
                <w:tab w:val="left" w:pos="10080"/>
                <w:tab w:val="left" w:pos="10800"/>
              </w:tabs>
              <w:spacing w:after="0" w:line="240" w:lineRule="auto"/>
              <w:rPr>
                <w:rFonts w:ascii="Arial" w:eastAsia="Calibri" w:hAnsi="Arial" w:cs="Arial"/>
                <w:color w:val="000000"/>
                <w:kern w:val="0"/>
                <w:lang w:eastAsia="fr-FR"/>
              </w:rPr>
            </w:pPr>
          </w:p>
        </w:tc>
      </w:tr>
      <w:tr w:rsidR="006A1F4E" w:rsidRPr="006A1F4E" w14:paraId="4E08712E" w14:textId="77777777" w:rsidTr="004B0903">
        <w:tc>
          <w:tcPr>
            <w:tcW w:w="4323" w:type="dxa"/>
          </w:tcPr>
          <w:p w14:paraId="4ECF9A0B" w14:textId="77777777" w:rsidR="006A1F4E" w:rsidRPr="006A1F4E" w:rsidRDefault="006A1F4E" w:rsidP="006A1F4E">
            <w:pPr>
              <w:widowControl w:val="0"/>
              <w:tabs>
                <w:tab w:val="left" w:leader="dot" w:pos="3401"/>
                <w:tab w:val="left" w:pos="10080"/>
                <w:tab w:val="left" w:pos="10800"/>
              </w:tabs>
              <w:spacing w:after="0" w:line="240" w:lineRule="auto"/>
              <w:jc w:val="both"/>
              <w:rPr>
                <w:rFonts w:ascii="Arial" w:eastAsia="Calibri" w:hAnsi="Arial" w:cs="Arial"/>
                <w:color w:val="000000"/>
                <w:kern w:val="0"/>
                <w:lang w:eastAsia="fr-FR"/>
              </w:rPr>
            </w:pPr>
            <w:r w:rsidRPr="006A1F4E">
              <w:rPr>
                <w:rFonts w:ascii="Arial" w:eastAsia="Calibri" w:hAnsi="Arial" w:cs="Arial"/>
                <w:color w:val="000000"/>
                <w:kern w:val="0"/>
                <w:lang w:eastAsia="fr-FR"/>
              </w:rPr>
              <w:t xml:space="preserve">- Dépenses courantes </w:t>
            </w:r>
            <w:r w:rsidRPr="006A1F4E">
              <w:rPr>
                <w:rFonts w:ascii="Arial" w:eastAsia="Calibri" w:hAnsi="Arial" w:cs="Arial"/>
                <w:color w:val="000000"/>
                <w:kern w:val="0"/>
                <w:lang w:eastAsia="fr-FR"/>
              </w:rPr>
              <w:tab/>
            </w:r>
          </w:p>
        </w:tc>
        <w:tc>
          <w:tcPr>
            <w:tcW w:w="1843" w:type="dxa"/>
          </w:tcPr>
          <w:p w14:paraId="0D557D01"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r w:rsidRPr="006A1F4E">
              <w:rPr>
                <w:rFonts w:ascii="Arial" w:eastAsia="Calibri" w:hAnsi="Arial" w:cs="Arial"/>
                <w:color w:val="000000"/>
                <w:kern w:val="0"/>
                <w:lang w:eastAsia="fr-FR"/>
              </w:rPr>
              <w:t>22 953 887 011</w:t>
            </w:r>
          </w:p>
        </w:tc>
        <w:tc>
          <w:tcPr>
            <w:tcW w:w="1111" w:type="dxa"/>
          </w:tcPr>
          <w:p w14:paraId="23A93D26"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roofErr w:type="gramStart"/>
            <w:r w:rsidRPr="006A1F4E">
              <w:rPr>
                <w:rFonts w:ascii="Arial" w:eastAsia="Calibri" w:hAnsi="Arial" w:cs="Arial"/>
                <w:color w:val="000000"/>
                <w:kern w:val="0"/>
                <w:lang w:eastAsia="fr-FR"/>
              </w:rPr>
              <w:t>euros</w:t>
            </w:r>
            <w:proofErr w:type="gramEnd"/>
          </w:p>
        </w:tc>
        <w:tc>
          <w:tcPr>
            <w:tcW w:w="1798" w:type="dxa"/>
          </w:tcPr>
          <w:p w14:paraId="2E9B8D9C"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209452FF"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865" w:type="dxa"/>
          </w:tcPr>
          <w:p w14:paraId="7540B263"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r>
      <w:tr w:rsidR="006A1F4E" w:rsidRPr="006A1F4E" w14:paraId="32F815C4" w14:textId="77777777" w:rsidTr="004B0903">
        <w:tc>
          <w:tcPr>
            <w:tcW w:w="4323" w:type="dxa"/>
          </w:tcPr>
          <w:p w14:paraId="34EADD3C" w14:textId="77777777" w:rsidR="006A1F4E" w:rsidRPr="006A1F4E" w:rsidRDefault="006A1F4E" w:rsidP="006A1F4E">
            <w:pPr>
              <w:widowControl w:val="0"/>
              <w:tabs>
                <w:tab w:val="left" w:leader="dot" w:pos="3401"/>
                <w:tab w:val="left" w:leader="dot" w:pos="3473"/>
                <w:tab w:val="left" w:pos="10080"/>
                <w:tab w:val="left" w:pos="10800"/>
              </w:tabs>
              <w:spacing w:after="0" w:line="240" w:lineRule="auto"/>
              <w:jc w:val="both"/>
              <w:rPr>
                <w:rFonts w:ascii="Arial" w:eastAsia="Calibri" w:hAnsi="Arial" w:cs="Arial"/>
                <w:color w:val="000000"/>
                <w:kern w:val="0"/>
                <w:lang w:eastAsia="fr-FR"/>
              </w:rPr>
            </w:pPr>
            <w:r w:rsidRPr="006A1F4E">
              <w:rPr>
                <w:rFonts w:ascii="Arial" w:eastAsia="Calibri" w:hAnsi="Arial" w:cs="Arial"/>
                <w:color w:val="000000"/>
                <w:kern w:val="0"/>
                <w:lang w:eastAsia="fr-FR"/>
              </w:rPr>
              <w:t xml:space="preserve">- Dépenses en capital </w:t>
            </w:r>
            <w:r w:rsidRPr="006A1F4E">
              <w:rPr>
                <w:rFonts w:ascii="Arial" w:eastAsia="Calibri" w:hAnsi="Arial" w:cs="Arial"/>
                <w:color w:val="000000"/>
                <w:kern w:val="0"/>
                <w:lang w:eastAsia="fr-FR"/>
              </w:rPr>
              <w:tab/>
            </w:r>
          </w:p>
        </w:tc>
        <w:tc>
          <w:tcPr>
            <w:tcW w:w="1843" w:type="dxa"/>
          </w:tcPr>
          <w:p w14:paraId="31361360"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r w:rsidRPr="006A1F4E">
              <w:rPr>
                <w:rFonts w:ascii="Arial" w:eastAsia="Calibri" w:hAnsi="Arial" w:cs="Arial"/>
                <w:color w:val="000000"/>
                <w:kern w:val="0"/>
                <w:lang w:eastAsia="fr-FR"/>
              </w:rPr>
              <w:t>3 201 495 575</w:t>
            </w:r>
          </w:p>
        </w:tc>
        <w:tc>
          <w:tcPr>
            <w:tcW w:w="1111" w:type="dxa"/>
          </w:tcPr>
          <w:p w14:paraId="029215C8"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roofErr w:type="gramStart"/>
            <w:r w:rsidRPr="006A1F4E">
              <w:rPr>
                <w:rFonts w:ascii="Arial" w:eastAsia="Calibri" w:hAnsi="Arial" w:cs="Arial"/>
                <w:color w:val="000000"/>
                <w:kern w:val="0"/>
                <w:lang w:eastAsia="fr-FR"/>
              </w:rPr>
              <w:t>euros</w:t>
            </w:r>
            <w:proofErr w:type="gramEnd"/>
          </w:p>
        </w:tc>
        <w:tc>
          <w:tcPr>
            <w:tcW w:w="1798" w:type="dxa"/>
          </w:tcPr>
          <w:p w14:paraId="395A4D35"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5850C2E5"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865" w:type="dxa"/>
          </w:tcPr>
          <w:p w14:paraId="2D51B777"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r>
      <w:tr w:rsidR="006A1F4E" w:rsidRPr="006A1F4E" w14:paraId="1FF0CF76" w14:textId="77777777" w:rsidTr="004B0903">
        <w:tc>
          <w:tcPr>
            <w:tcW w:w="4323" w:type="dxa"/>
          </w:tcPr>
          <w:p w14:paraId="7267C941" w14:textId="77777777" w:rsidR="006A1F4E" w:rsidRPr="006A1F4E" w:rsidRDefault="006A1F4E" w:rsidP="006A1F4E">
            <w:pPr>
              <w:widowControl w:val="0"/>
              <w:tabs>
                <w:tab w:val="left" w:leader="dot" w:pos="3401"/>
                <w:tab w:val="left" w:pos="10080"/>
                <w:tab w:val="left" w:pos="10800"/>
              </w:tabs>
              <w:spacing w:after="0" w:line="240" w:lineRule="auto"/>
              <w:rPr>
                <w:rFonts w:ascii="Arial" w:eastAsia="Calibri" w:hAnsi="Arial" w:cs="Arial"/>
                <w:color w:val="000000"/>
                <w:kern w:val="0"/>
                <w:lang w:eastAsia="fr-FR"/>
              </w:rPr>
            </w:pPr>
            <w:r w:rsidRPr="006A1F4E">
              <w:rPr>
                <w:rFonts w:ascii="Arial" w:eastAsia="Calibri" w:hAnsi="Arial" w:cs="Arial"/>
                <w:color w:val="000000"/>
                <w:kern w:val="0"/>
                <w:lang w:eastAsia="fr-FR"/>
              </w:rPr>
              <w:t>- Dépenses des opérations financières</w:t>
            </w:r>
          </w:p>
        </w:tc>
        <w:tc>
          <w:tcPr>
            <w:tcW w:w="1843" w:type="dxa"/>
          </w:tcPr>
          <w:p w14:paraId="12A0C6A4"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r w:rsidRPr="006A1F4E">
              <w:rPr>
                <w:rFonts w:ascii="Arial" w:eastAsia="Calibri" w:hAnsi="Arial" w:cs="Arial"/>
                <w:color w:val="000000"/>
                <w:kern w:val="0"/>
                <w:lang w:eastAsia="fr-FR"/>
              </w:rPr>
              <w:t>564 439 100</w:t>
            </w:r>
          </w:p>
        </w:tc>
        <w:tc>
          <w:tcPr>
            <w:tcW w:w="1111" w:type="dxa"/>
          </w:tcPr>
          <w:p w14:paraId="3CF13727"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roofErr w:type="gramStart"/>
            <w:r w:rsidRPr="006A1F4E">
              <w:rPr>
                <w:rFonts w:ascii="Arial" w:eastAsia="Calibri" w:hAnsi="Arial" w:cs="Arial"/>
                <w:color w:val="000000"/>
                <w:kern w:val="0"/>
                <w:lang w:eastAsia="fr-FR"/>
              </w:rPr>
              <w:t>euros</w:t>
            </w:r>
            <w:proofErr w:type="gramEnd"/>
          </w:p>
        </w:tc>
        <w:tc>
          <w:tcPr>
            <w:tcW w:w="1798" w:type="dxa"/>
          </w:tcPr>
          <w:p w14:paraId="0CDDA824"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c>
          <w:tcPr>
            <w:tcW w:w="673" w:type="dxa"/>
          </w:tcPr>
          <w:p w14:paraId="2E881FCE" w14:textId="77777777" w:rsidR="006A1F4E" w:rsidRPr="006A1F4E" w:rsidRDefault="006A1F4E" w:rsidP="006A1F4E">
            <w:pPr>
              <w:widowControl w:val="0"/>
              <w:tabs>
                <w:tab w:val="left" w:pos="10080"/>
                <w:tab w:val="left" w:pos="10800"/>
              </w:tabs>
              <w:spacing w:after="0" w:line="240" w:lineRule="auto"/>
              <w:jc w:val="both"/>
              <w:rPr>
                <w:rFonts w:ascii="Arial" w:eastAsia="Calibri" w:hAnsi="Arial" w:cs="Arial"/>
                <w:color w:val="000000"/>
                <w:kern w:val="0"/>
                <w:lang w:eastAsia="fr-FR"/>
              </w:rPr>
            </w:pPr>
          </w:p>
        </w:tc>
        <w:tc>
          <w:tcPr>
            <w:tcW w:w="1865" w:type="dxa"/>
          </w:tcPr>
          <w:p w14:paraId="3738FA8D" w14:textId="77777777" w:rsidR="006A1F4E" w:rsidRPr="006A1F4E" w:rsidRDefault="006A1F4E" w:rsidP="006A1F4E">
            <w:pPr>
              <w:widowControl w:val="0"/>
              <w:tabs>
                <w:tab w:val="left" w:pos="10080"/>
                <w:tab w:val="left" w:pos="10800"/>
              </w:tabs>
              <w:spacing w:after="0" w:line="240" w:lineRule="auto"/>
              <w:jc w:val="right"/>
              <w:rPr>
                <w:rFonts w:ascii="Arial" w:eastAsia="Calibri" w:hAnsi="Arial" w:cs="Arial"/>
                <w:color w:val="000000"/>
                <w:kern w:val="0"/>
                <w:lang w:eastAsia="fr-FR"/>
              </w:rPr>
            </w:pPr>
          </w:p>
        </w:tc>
      </w:tr>
    </w:tbl>
    <w:p w14:paraId="7453AC58" w14:textId="77777777" w:rsidR="006A1F4E" w:rsidRPr="006A1F4E" w:rsidRDefault="006A1F4E" w:rsidP="006A1F4E">
      <w:pPr>
        <w:spacing w:after="0" w:line="240" w:lineRule="auto"/>
        <w:jc w:val="both"/>
        <w:rPr>
          <w:rFonts w:ascii="Calibri" w:eastAsia="Times New Roman" w:hAnsi="Calibri" w:cs="Calibri"/>
          <w:color w:val="0070C0"/>
          <w:kern w:val="0"/>
          <w:lang w:eastAsia="fr-FR"/>
        </w:rPr>
      </w:pPr>
    </w:p>
    <w:p w14:paraId="49079AF0" w14:textId="77777777" w:rsidR="006A1F4E" w:rsidRPr="006A1F4E" w:rsidRDefault="006A1F4E" w:rsidP="006A1F4E">
      <w:pPr>
        <w:spacing w:after="0" w:line="240" w:lineRule="auto"/>
        <w:jc w:val="both"/>
        <w:rPr>
          <w:rFonts w:ascii="Arial" w:eastAsia="Times New Roman" w:hAnsi="Arial"/>
          <w:color w:val="000000"/>
          <w:kern w:val="0"/>
          <w:lang w:eastAsia="fr-FR"/>
        </w:rPr>
      </w:pPr>
    </w:p>
    <w:p w14:paraId="43CFC37A" w14:textId="77777777" w:rsidR="006A1F4E" w:rsidRPr="006A1F4E" w:rsidRDefault="006A1F4E" w:rsidP="006A1F4E">
      <w:pPr>
        <w:spacing w:after="0" w:line="240" w:lineRule="auto"/>
        <w:jc w:val="both"/>
        <w:rPr>
          <w:rFonts w:ascii="Arial" w:eastAsia="Times New Roman" w:hAnsi="Arial"/>
          <w:color w:val="000000"/>
          <w:kern w:val="0"/>
          <w:lang w:eastAsia="fr-FR"/>
        </w:rPr>
      </w:pPr>
      <w:r w:rsidRPr="006A1F4E">
        <w:rPr>
          <w:rFonts w:ascii="Arial" w:eastAsia="Times New Roman" w:hAnsi="Arial"/>
          <w:color w:val="000000"/>
          <w:kern w:val="0"/>
          <w:u w:val="single"/>
          <w:lang w:eastAsia="fr-FR"/>
        </w:rPr>
        <w:t>L’article 3</w:t>
      </w:r>
      <w:r w:rsidRPr="006A1F4E">
        <w:rPr>
          <w:rFonts w:ascii="Arial" w:eastAsia="Times New Roman" w:hAnsi="Arial"/>
          <w:color w:val="000000"/>
          <w:kern w:val="0"/>
          <w:lang w:eastAsia="fr-FR"/>
        </w:rPr>
        <w:t xml:space="preserve"> du projet de loi porte modification de la loi modifiée du 17 décembre 2010 fixant les droits d’accises et les taxes assimilées sur les produits énergétiques, l’électricité, les produits de tabacs manufacturés, l’alcool et les boissons alcooliques. Le plafond pour le droit d’accise spécifique autonome de la catégorie des </w:t>
      </w:r>
      <w:r w:rsidRPr="006A1F4E">
        <w:rPr>
          <w:rFonts w:ascii="Arial" w:eastAsia="Times New Roman" w:hAnsi="Arial"/>
          <w:b/>
          <w:bCs/>
          <w:color w:val="000000"/>
          <w:kern w:val="0"/>
          <w:u w:val="single"/>
          <w:lang w:eastAsia="fr-FR"/>
        </w:rPr>
        <w:t>tabacs à fumer</w:t>
      </w:r>
      <w:r w:rsidRPr="006A1F4E">
        <w:rPr>
          <w:rFonts w:ascii="Arial" w:eastAsia="Times New Roman" w:hAnsi="Arial"/>
          <w:color w:val="000000"/>
          <w:kern w:val="0"/>
          <w:lang w:eastAsia="fr-FR"/>
        </w:rPr>
        <w:t xml:space="preserve"> </w:t>
      </w:r>
      <w:proofErr w:type="gramStart"/>
      <w:r w:rsidRPr="006A1F4E">
        <w:rPr>
          <w:rFonts w:ascii="Arial" w:eastAsia="Times New Roman" w:hAnsi="Arial"/>
          <w:color w:val="000000"/>
          <w:kern w:val="0"/>
          <w:lang w:eastAsia="fr-FR"/>
        </w:rPr>
        <w:t>fine coupe destinés</w:t>
      </w:r>
      <w:proofErr w:type="gramEnd"/>
      <w:r w:rsidRPr="006A1F4E">
        <w:rPr>
          <w:rFonts w:ascii="Arial" w:eastAsia="Times New Roman" w:hAnsi="Arial"/>
          <w:color w:val="000000"/>
          <w:kern w:val="0"/>
          <w:lang w:eastAsia="fr-FR"/>
        </w:rPr>
        <w:t xml:space="preserve"> à rouler les cigarettes et les autres tabacs à fumer est </w:t>
      </w:r>
      <w:r w:rsidRPr="006A1F4E">
        <w:rPr>
          <w:rFonts w:ascii="Arial" w:eastAsia="Times New Roman" w:hAnsi="Arial"/>
          <w:color w:val="000000"/>
          <w:kern w:val="0"/>
          <w:u w:val="single"/>
          <w:lang w:eastAsia="fr-FR"/>
        </w:rPr>
        <w:t>augmenté</w:t>
      </w:r>
      <w:r w:rsidRPr="006A1F4E">
        <w:rPr>
          <w:rFonts w:ascii="Arial" w:eastAsia="Times New Roman" w:hAnsi="Arial"/>
          <w:color w:val="000000"/>
          <w:kern w:val="0"/>
          <w:lang w:eastAsia="fr-FR"/>
        </w:rPr>
        <w:t xml:space="preserve"> de 10 euros pour passer de 25 euro par kilo à 35 euros par kilo (à partir du 1</w:t>
      </w:r>
      <w:r w:rsidRPr="006A1F4E">
        <w:rPr>
          <w:rFonts w:ascii="Arial" w:eastAsia="Times New Roman" w:hAnsi="Arial"/>
          <w:color w:val="000000"/>
          <w:kern w:val="0"/>
          <w:vertAlign w:val="superscript"/>
          <w:lang w:eastAsia="fr-FR"/>
        </w:rPr>
        <w:t>er</w:t>
      </w:r>
      <w:r w:rsidRPr="006A1F4E">
        <w:rPr>
          <w:rFonts w:ascii="Arial" w:eastAsia="Times New Roman" w:hAnsi="Arial"/>
          <w:color w:val="000000"/>
          <w:kern w:val="0"/>
          <w:lang w:eastAsia="fr-FR"/>
        </w:rPr>
        <w:t xml:space="preserve"> mai 2024).</w:t>
      </w:r>
    </w:p>
    <w:p w14:paraId="148AF471" w14:textId="77777777" w:rsidR="006A1F4E" w:rsidRPr="006A1F4E" w:rsidRDefault="006A1F4E" w:rsidP="006A1F4E">
      <w:pPr>
        <w:spacing w:after="0" w:line="240" w:lineRule="auto"/>
        <w:jc w:val="both"/>
        <w:rPr>
          <w:rFonts w:ascii="Arial" w:eastAsia="Times New Roman" w:hAnsi="Arial"/>
          <w:color w:val="000000"/>
          <w:kern w:val="0"/>
          <w:lang w:eastAsia="fr-FR"/>
        </w:rPr>
      </w:pPr>
    </w:p>
    <w:p w14:paraId="31D053B7" w14:textId="77777777" w:rsidR="006A1F4E" w:rsidRPr="006A1F4E" w:rsidRDefault="006A1F4E" w:rsidP="006A1F4E">
      <w:pPr>
        <w:spacing w:after="0" w:line="240" w:lineRule="auto"/>
        <w:jc w:val="both"/>
        <w:rPr>
          <w:rFonts w:ascii="Arial" w:eastAsia="Times New Roman" w:hAnsi="Arial"/>
          <w:color w:val="000000"/>
          <w:kern w:val="0"/>
          <w:lang w:eastAsia="fr-FR"/>
        </w:rPr>
      </w:pPr>
      <w:r w:rsidRPr="006A1F4E">
        <w:rPr>
          <w:rFonts w:ascii="Arial" w:eastAsia="Times New Roman" w:hAnsi="Arial"/>
          <w:color w:val="000000"/>
          <w:kern w:val="0"/>
          <w:lang w:eastAsia="fr-FR"/>
        </w:rPr>
        <w:t xml:space="preserve">L’émergence de </w:t>
      </w:r>
      <w:r w:rsidRPr="006A1F4E">
        <w:rPr>
          <w:rFonts w:ascii="Arial" w:eastAsia="Times New Roman" w:hAnsi="Arial"/>
          <w:b/>
          <w:bCs/>
          <w:color w:val="000000"/>
          <w:kern w:val="0"/>
          <w:u w:val="single"/>
          <w:lang w:eastAsia="fr-FR"/>
        </w:rPr>
        <w:t>nouveaux produits destinés à être fumés ou vapotés</w:t>
      </w:r>
      <w:r w:rsidRPr="006A1F4E">
        <w:rPr>
          <w:rFonts w:ascii="Arial" w:eastAsia="Times New Roman" w:hAnsi="Arial"/>
          <w:color w:val="000000"/>
          <w:kern w:val="0"/>
          <w:lang w:eastAsia="fr-FR"/>
        </w:rPr>
        <w:t xml:space="preserve"> et assimilés à des tabacs manufacturés dans le contexte de l’évolution des habitudes de consommation du tabac et des produits apparentés nécessite l’adaptation du cadre fiscal pour inclure ces produits. L’article 3 (4) introduit des </w:t>
      </w:r>
      <w:r w:rsidRPr="006A1F4E">
        <w:rPr>
          <w:rFonts w:ascii="Arial" w:eastAsia="Times New Roman" w:hAnsi="Arial"/>
          <w:color w:val="000000"/>
          <w:kern w:val="0"/>
          <w:u w:val="single"/>
          <w:lang w:eastAsia="fr-FR"/>
        </w:rPr>
        <w:t>taux de droits d’accise</w:t>
      </w:r>
      <w:r w:rsidRPr="006A1F4E">
        <w:rPr>
          <w:rFonts w:ascii="Arial" w:eastAsia="Times New Roman" w:hAnsi="Arial"/>
          <w:color w:val="000000"/>
          <w:kern w:val="0"/>
          <w:lang w:eastAsia="fr-FR"/>
        </w:rPr>
        <w:t xml:space="preserve"> maximums sur ces produits. </w:t>
      </w:r>
      <w:r w:rsidRPr="006A1F4E">
        <w:rPr>
          <w:rFonts w:ascii="Arial" w:eastAsia="Arial" w:hAnsi="Arial" w:cs="Arial"/>
          <w:color w:val="000000"/>
          <w:kern w:val="0"/>
          <w:szCs w:val="20"/>
          <w:lang w:eastAsia="fr-FR"/>
        </w:rPr>
        <w:t>La nouvelle taxation s’applique à partir du 1</w:t>
      </w:r>
      <w:r w:rsidRPr="006A1F4E">
        <w:rPr>
          <w:rFonts w:ascii="Arial" w:eastAsia="Arial" w:hAnsi="Arial" w:cs="Arial"/>
          <w:color w:val="000000"/>
          <w:kern w:val="0"/>
          <w:szCs w:val="20"/>
          <w:vertAlign w:val="superscript"/>
          <w:lang w:eastAsia="fr-FR"/>
        </w:rPr>
        <w:t>er</w:t>
      </w:r>
      <w:r w:rsidRPr="006A1F4E">
        <w:rPr>
          <w:rFonts w:ascii="Arial" w:eastAsia="Arial" w:hAnsi="Arial" w:cs="Arial"/>
          <w:color w:val="000000"/>
          <w:kern w:val="0"/>
          <w:szCs w:val="20"/>
          <w:lang w:eastAsia="fr-FR"/>
        </w:rPr>
        <w:t xml:space="preserve"> mai pour le « </w:t>
      </w:r>
      <w:proofErr w:type="spellStart"/>
      <w:r w:rsidRPr="006A1F4E">
        <w:rPr>
          <w:rFonts w:ascii="Arial" w:eastAsia="Arial" w:hAnsi="Arial" w:cs="Arial"/>
          <w:color w:val="000000"/>
          <w:kern w:val="0"/>
          <w:szCs w:val="20"/>
          <w:lang w:eastAsia="fr-FR"/>
        </w:rPr>
        <w:t>heat</w:t>
      </w:r>
      <w:proofErr w:type="spellEnd"/>
      <w:r w:rsidRPr="006A1F4E">
        <w:rPr>
          <w:rFonts w:ascii="Arial" w:eastAsia="Arial" w:hAnsi="Arial" w:cs="Arial"/>
          <w:color w:val="000000"/>
          <w:kern w:val="0"/>
          <w:szCs w:val="20"/>
          <w:lang w:eastAsia="fr-FR"/>
        </w:rPr>
        <w:t xml:space="preserve"> not </w:t>
      </w:r>
      <w:proofErr w:type="spellStart"/>
      <w:r w:rsidRPr="006A1F4E">
        <w:rPr>
          <w:rFonts w:ascii="Arial" w:eastAsia="Arial" w:hAnsi="Arial" w:cs="Arial"/>
          <w:color w:val="000000"/>
          <w:kern w:val="0"/>
          <w:szCs w:val="20"/>
          <w:lang w:eastAsia="fr-FR"/>
        </w:rPr>
        <w:t>burn</w:t>
      </w:r>
      <w:proofErr w:type="spellEnd"/>
      <w:r w:rsidRPr="006A1F4E">
        <w:rPr>
          <w:rFonts w:ascii="Arial" w:eastAsia="Arial" w:hAnsi="Arial" w:cs="Arial"/>
          <w:color w:val="000000"/>
          <w:kern w:val="0"/>
          <w:szCs w:val="20"/>
          <w:lang w:eastAsia="fr-FR"/>
        </w:rPr>
        <w:t xml:space="preserve"> » et </w:t>
      </w:r>
      <w:r w:rsidRPr="006A1F4E">
        <w:rPr>
          <w:rFonts w:ascii="Arial" w:eastAsia="Times New Roman" w:hAnsi="Arial" w:cs="Arial"/>
          <w:color w:val="000000"/>
          <w:kern w:val="0"/>
          <w:lang w:eastAsia="fr-FR"/>
        </w:rPr>
        <w:t>à partir du 1</w:t>
      </w:r>
      <w:r w:rsidRPr="006A1F4E">
        <w:rPr>
          <w:rFonts w:ascii="Arial" w:eastAsia="Times New Roman" w:hAnsi="Arial" w:cs="Arial"/>
          <w:color w:val="000000"/>
          <w:kern w:val="0"/>
          <w:vertAlign w:val="superscript"/>
          <w:lang w:eastAsia="fr-FR"/>
        </w:rPr>
        <w:t>er</w:t>
      </w:r>
      <w:r w:rsidRPr="006A1F4E">
        <w:rPr>
          <w:rFonts w:ascii="Arial" w:eastAsia="Times New Roman" w:hAnsi="Arial" w:cs="Arial"/>
          <w:color w:val="000000"/>
          <w:kern w:val="0"/>
          <w:lang w:eastAsia="fr-FR"/>
        </w:rPr>
        <w:t xml:space="preserve"> octobre 2024 pour les e-liquides et les sachets de nicotine.</w:t>
      </w:r>
    </w:p>
    <w:p w14:paraId="202863F5" w14:textId="77777777" w:rsidR="006A1F4E" w:rsidRPr="006A1F4E" w:rsidRDefault="006A1F4E" w:rsidP="006A1F4E">
      <w:pPr>
        <w:spacing w:after="0" w:line="240" w:lineRule="auto"/>
        <w:jc w:val="both"/>
        <w:rPr>
          <w:rFonts w:ascii="Arial" w:eastAsia="Times New Roman" w:hAnsi="Arial" w:cs="Arial"/>
          <w:kern w:val="0"/>
          <w:lang w:val="fr-LU"/>
        </w:rPr>
      </w:pPr>
    </w:p>
    <w:p w14:paraId="488F64A0" w14:textId="77777777" w:rsidR="006A1F4E" w:rsidRPr="006A1F4E" w:rsidRDefault="006A1F4E" w:rsidP="006A1F4E">
      <w:pPr>
        <w:spacing w:after="0" w:line="240" w:lineRule="auto"/>
        <w:jc w:val="both"/>
        <w:rPr>
          <w:rFonts w:ascii="Arial" w:eastAsia="Times New Roman" w:hAnsi="Arial" w:cs="Arial"/>
          <w:kern w:val="0"/>
          <w:lang w:val="fr-LU"/>
        </w:rPr>
      </w:pPr>
      <w:r w:rsidRPr="006A1F4E">
        <w:rPr>
          <w:rFonts w:ascii="Arial" w:eastAsia="Times New Roman" w:hAnsi="Arial" w:cs="Arial"/>
          <w:kern w:val="0"/>
          <w:u w:val="single"/>
          <w:lang w:val="fr-LU"/>
        </w:rPr>
        <w:t>L’article 30</w:t>
      </w:r>
      <w:r w:rsidRPr="006A1F4E">
        <w:rPr>
          <w:rFonts w:ascii="Arial" w:eastAsia="Times New Roman" w:hAnsi="Arial" w:cs="Arial"/>
          <w:kern w:val="0"/>
          <w:lang w:val="fr-LU"/>
        </w:rPr>
        <w:t xml:space="preserve"> prévoit pour l’exercice 2024 une dérogation par rapport aux délais prévus aux dispositions de l’article 38 de la loi budgétaire pour l’exercice 2023.</w:t>
      </w:r>
    </w:p>
    <w:p w14:paraId="401437ED" w14:textId="77777777" w:rsidR="006A1F4E" w:rsidRPr="006A1F4E" w:rsidRDefault="006A1F4E" w:rsidP="006A1F4E">
      <w:pPr>
        <w:spacing w:after="0" w:line="240" w:lineRule="auto"/>
        <w:jc w:val="both"/>
        <w:rPr>
          <w:rFonts w:ascii="Arial" w:eastAsia="Times New Roman" w:hAnsi="Arial" w:cs="Arial"/>
          <w:kern w:val="0"/>
          <w:lang w:val="fr-LU"/>
        </w:rPr>
      </w:pPr>
    </w:p>
    <w:p w14:paraId="62B244DB" w14:textId="77777777" w:rsidR="006A1F4E" w:rsidRPr="006A1F4E" w:rsidRDefault="006A1F4E" w:rsidP="006A1F4E">
      <w:pPr>
        <w:spacing w:after="0" w:line="240" w:lineRule="auto"/>
        <w:jc w:val="both"/>
        <w:rPr>
          <w:rFonts w:ascii="Arial" w:eastAsia="Times New Roman" w:hAnsi="Arial" w:cs="Arial"/>
          <w:kern w:val="0"/>
          <w:lang w:val="fr-LU"/>
        </w:rPr>
      </w:pPr>
      <w:r w:rsidRPr="006A1F4E">
        <w:rPr>
          <w:rFonts w:ascii="Arial" w:eastAsia="Times New Roman" w:hAnsi="Arial" w:cs="Arial"/>
          <w:kern w:val="0"/>
          <w:lang w:val="fr-LU"/>
        </w:rPr>
        <w:t xml:space="preserve">Afin d’être en mesure de répondre aux demandes des parties prenantes (Gouvernement, Chambre des députés, etc.) sur l’exécution budgétaire dans des délais plus rapprochés, la </w:t>
      </w:r>
      <w:r w:rsidRPr="006A1F4E">
        <w:rPr>
          <w:rFonts w:ascii="Arial" w:eastAsia="Times New Roman" w:hAnsi="Arial" w:cs="Arial"/>
          <w:b/>
          <w:bCs/>
          <w:kern w:val="0"/>
          <w:u w:val="single"/>
          <w:lang w:val="fr-LU"/>
        </w:rPr>
        <w:t>période dite « complémentaire »</w:t>
      </w:r>
      <w:r w:rsidRPr="006A1F4E">
        <w:rPr>
          <w:rFonts w:ascii="Arial" w:eastAsia="Times New Roman" w:hAnsi="Arial" w:cs="Arial"/>
          <w:kern w:val="0"/>
          <w:lang w:val="fr-LU"/>
        </w:rPr>
        <w:t xml:space="preserve">, qui courait jusqu’à présent jusqu’au 30 avril de chaque année, est </w:t>
      </w:r>
      <w:r w:rsidRPr="006A1F4E">
        <w:rPr>
          <w:rFonts w:ascii="Arial" w:eastAsia="Times New Roman" w:hAnsi="Arial" w:cs="Arial"/>
          <w:kern w:val="0"/>
          <w:u w:val="single"/>
          <w:lang w:val="fr-LU"/>
        </w:rPr>
        <w:t>raccourcie</w:t>
      </w:r>
      <w:r w:rsidRPr="006A1F4E">
        <w:rPr>
          <w:rFonts w:ascii="Arial" w:eastAsia="Times New Roman" w:hAnsi="Arial" w:cs="Arial"/>
          <w:kern w:val="0"/>
          <w:lang w:val="fr-LU"/>
        </w:rPr>
        <w:t xml:space="preserve"> à partir de l’exercice budgétaire 2024. Ainsi, pour ce qui est des opérations relatives à l’ordonnancement des dépenses, celles-ci peuvent se prolonger jusqu’au 31 janvier 2025 (au lieu du 31 mars). En ce qui concerne les opérations relatives au paiement des dépenses, celles-ci peuvent se prolonger jusqu’au 28 février 2025 (au lieu du 30 avril).</w:t>
      </w:r>
    </w:p>
    <w:p w14:paraId="6C086384" w14:textId="77777777" w:rsidR="006A1F4E" w:rsidRPr="006A1F4E" w:rsidRDefault="006A1F4E" w:rsidP="006A1F4E">
      <w:pPr>
        <w:spacing w:after="0" w:line="240" w:lineRule="auto"/>
        <w:jc w:val="both"/>
        <w:rPr>
          <w:rFonts w:ascii="Arial" w:eastAsia="Times New Roman" w:hAnsi="Arial" w:cs="Arial"/>
          <w:b/>
          <w:color w:val="000000"/>
          <w:kern w:val="0"/>
          <w:u w:val="single"/>
          <w:lang w:eastAsia="fr-FR"/>
        </w:rPr>
      </w:pPr>
    </w:p>
    <w:p w14:paraId="18DEB69E" w14:textId="77777777" w:rsidR="006A1F4E" w:rsidRPr="006A1F4E" w:rsidRDefault="006A1F4E" w:rsidP="006A1F4E">
      <w:pPr>
        <w:widowControl w:val="0"/>
        <w:tabs>
          <w:tab w:val="left" w:pos="1276"/>
        </w:tabs>
        <w:spacing w:after="0" w:line="240" w:lineRule="auto"/>
        <w:contextualSpacing/>
        <w:jc w:val="both"/>
        <w:rPr>
          <w:rFonts w:ascii="Arial" w:eastAsia="Times New Roman" w:hAnsi="Arial" w:cs="Arial"/>
          <w:color w:val="000000"/>
          <w:kern w:val="0"/>
          <w:lang w:eastAsia="fr-FR"/>
        </w:rPr>
      </w:pPr>
      <w:r w:rsidRPr="006A1F4E">
        <w:rPr>
          <w:rFonts w:ascii="Arial" w:eastAsia="Times New Roman" w:hAnsi="Arial" w:cs="Arial"/>
          <w:color w:val="000000"/>
          <w:kern w:val="0"/>
          <w:u w:val="single"/>
          <w:lang w:eastAsia="fr-FR"/>
        </w:rPr>
        <w:t>L’article 32</w:t>
      </w:r>
      <w:r w:rsidRPr="006A1F4E">
        <w:rPr>
          <w:rFonts w:ascii="Arial" w:eastAsia="Times New Roman" w:hAnsi="Arial" w:cs="Arial"/>
          <w:color w:val="000000"/>
          <w:kern w:val="0"/>
          <w:lang w:eastAsia="fr-FR"/>
        </w:rPr>
        <w:t xml:space="preserve"> confère au ministre ayant le Trésor dans ses attributions </w:t>
      </w:r>
      <w:r w:rsidRPr="006A1F4E">
        <w:rPr>
          <w:rFonts w:ascii="Arial" w:eastAsia="Times New Roman" w:hAnsi="Arial" w:cs="Arial"/>
          <w:b/>
          <w:bCs/>
          <w:color w:val="000000"/>
          <w:kern w:val="0"/>
          <w:u w:val="single"/>
          <w:lang w:eastAsia="fr-FR"/>
        </w:rPr>
        <w:t>l'autorisation d'émettre des emprunts pour un montant maximum de 5 000 millions d'euros</w:t>
      </w:r>
      <w:r w:rsidRPr="006A1F4E">
        <w:rPr>
          <w:rFonts w:ascii="Arial" w:eastAsia="Times New Roman" w:hAnsi="Arial" w:cs="Arial"/>
          <w:color w:val="000000"/>
          <w:kern w:val="0"/>
          <w:lang w:eastAsia="fr-FR"/>
        </w:rPr>
        <w:t xml:space="preserve">. Ce montant s’oriente au niveau anticipé des liquidités disponibles, au déficit prévisible de </w:t>
      </w:r>
      <w:r w:rsidRPr="006A1F4E">
        <w:rPr>
          <w:rFonts w:ascii="Arial" w:eastAsia="Times New Roman" w:hAnsi="Arial" w:cs="Arial"/>
          <w:color w:val="000000"/>
          <w:kern w:val="0"/>
          <w:lang w:eastAsia="fr-FR"/>
        </w:rPr>
        <w:lastRenderedPageBreak/>
        <w:t>l’Administration centrale ainsi qu’au besoin de refinancement de la dette à moyen et long terme venant à échéance au cours des années 2024 et 2025, tout en prévoyant une marge pour parer des situations imprévues. Il ne présente aucune indication quant au besoin de financement effectif ou prévisible au cours des exercices en question. Tel que recommandé par le Conseil d’État et dans un souci de transparence, l’autorisation est limitée dans le temps. Le budget de l’État pour l’année 2025 pourra venir annuler, le cas échéant, la partie non utilisée de cette autorisation.</w:t>
      </w:r>
    </w:p>
    <w:p w14:paraId="33108206" w14:textId="77777777" w:rsidR="006A1F4E" w:rsidRPr="006A1F4E" w:rsidRDefault="006A1F4E" w:rsidP="006A1F4E">
      <w:pPr>
        <w:widowControl w:val="0"/>
        <w:tabs>
          <w:tab w:val="left" w:pos="1276"/>
        </w:tabs>
        <w:spacing w:after="0" w:line="240" w:lineRule="auto"/>
        <w:contextualSpacing/>
        <w:jc w:val="both"/>
        <w:rPr>
          <w:rFonts w:ascii="Arial" w:eastAsia="Times New Roman" w:hAnsi="Arial" w:cs="Arial"/>
          <w:color w:val="000000"/>
          <w:kern w:val="0"/>
          <w:lang w:eastAsia="fr-FR"/>
        </w:rPr>
      </w:pPr>
    </w:p>
    <w:p w14:paraId="7689155A" w14:textId="1B58E39E" w:rsidR="009D4A84" w:rsidRDefault="006A1F4E" w:rsidP="006A1F4E">
      <w:r w:rsidRPr="006A1F4E">
        <w:rPr>
          <w:rFonts w:ascii="Arial" w:eastAsia="Times New Roman" w:hAnsi="Arial" w:cs="Arial"/>
          <w:color w:val="000000"/>
          <w:kern w:val="0"/>
          <w:lang w:eastAsia="fr-FR"/>
        </w:rPr>
        <w:t>Dans un même esprit, la partie non utilisée de l’autorisation d’emprunt inscrite au budget de l’État pour l’année 2023 est annulée.</w:t>
      </w:r>
    </w:p>
    <w:sectPr w:rsidR="009D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53EDF"/>
    <w:multiLevelType w:val="hybridMultilevel"/>
    <w:tmpl w:val="7EDE857E"/>
    <w:lvl w:ilvl="0" w:tplc="3E6077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55650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4E"/>
    <w:rsid w:val="006A1F4E"/>
    <w:rsid w:val="009D4A84"/>
    <w:rsid w:val="00AF4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EE99"/>
  <w15:chartTrackingRefBased/>
  <w15:docId w15:val="{E5063A52-E2F3-4C1A-AC8D-25697DF5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6A1F4E"/>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6A1F4E"/>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6A1F4E"/>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6A1F4E"/>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6A1F4E"/>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6A1F4E"/>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6A1F4E"/>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6A1F4E"/>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6A1F4E"/>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A1F4E"/>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6A1F4E"/>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6A1F4E"/>
    <w:rPr>
      <w:rFonts w:eastAsia="Times New Roman" w:cs="Times New Roman"/>
      <w:color w:val="0F4761"/>
      <w:sz w:val="28"/>
      <w:szCs w:val="28"/>
    </w:rPr>
  </w:style>
  <w:style w:type="character" w:customStyle="1" w:styleId="Titre4Car">
    <w:name w:val="Titre 4 Car"/>
    <w:link w:val="Titre4"/>
    <w:uiPriority w:val="9"/>
    <w:semiHidden/>
    <w:rsid w:val="006A1F4E"/>
    <w:rPr>
      <w:rFonts w:eastAsia="Times New Roman" w:cs="Times New Roman"/>
      <w:i/>
      <w:iCs/>
      <w:color w:val="0F4761"/>
    </w:rPr>
  </w:style>
  <w:style w:type="character" w:customStyle="1" w:styleId="Titre5Car">
    <w:name w:val="Titre 5 Car"/>
    <w:link w:val="Titre5"/>
    <w:uiPriority w:val="9"/>
    <w:semiHidden/>
    <w:rsid w:val="006A1F4E"/>
    <w:rPr>
      <w:rFonts w:eastAsia="Times New Roman" w:cs="Times New Roman"/>
      <w:color w:val="0F4761"/>
    </w:rPr>
  </w:style>
  <w:style w:type="character" w:customStyle="1" w:styleId="Titre6Car">
    <w:name w:val="Titre 6 Car"/>
    <w:link w:val="Titre6"/>
    <w:uiPriority w:val="9"/>
    <w:semiHidden/>
    <w:rsid w:val="006A1F4E"/>
    <w:rPr>
      <w:rFonts w:eastAsia="Times New Roman" w:cs="Times New Roman"/>
      <w:i/>
      <w:iCs/>
      <w:color w:val="595959"/>
    </w:rPr>
  </w:style>
  <w:style w:type="character" w:customStyle="1" w:styleId="Titre7Car">
    <w:name w:val="Titre 7 Car"/>
    <w:link w:val="Titre7"/>
    <w:uiPriority w:val="9"/>
    <w:semiHidden/>
    <w:rsid w:val="006A1F4E"/>
    <w:rPr>
      <w:rFonts w:eastAsia="Times New Roman" w:cs="Times New Roman"/>
      <w:color w:val="595959"/>
    </w:rPr>
  </w:style>
  <w:style w:type="character" w:customStyle="1" w:styleId="Titre8Car">
    <w:name w:val="Titre 8 Car"/>
    <w:link w:val="Titre8"/>
    <w:uiPriority w:val="9"/>
    <w:semiHidden/>
    <w:rsid w:val="006A1F4E"/>
    <w:rPr>
      <w:rFonts w:eastAsia="Times New Roman" w:cs="Times New Roman"/>
      <w:i/>
      <w:iCs/>
      <w:color w:val="272727"/>
    </w:rPr>
  </w:style>
  <w:style w:type="character" w:customStyle="1" w:styleId="Titre9Car">
    <w:name w:val="Titre 9 Car"/>
    <w:link w:val="Titre9"/>
    <w:uiPriority w:val="9"/>
    <w:semiHidden/>
    <w:rsid w:val="006A1F4E"/>
    <w:rPr>
      <w:rFonts w:eastAsia="Times New Roman" w:cs="Times New Roman"/>
      <w:color w:val="272727"/>
    </w:rPr>
  </w:style>
  <w:style w:type="paragraph" w:styleId="Titre">
    <w:name w:val="Title"/>
    <w:basedOn w:val="Normal"/>
    <w:next w:val="Normal"/>
    <w:link w:val="TitreCar"/>
    <w:uiPriority w:val="10"/>
    <w:qFormat/>
    <w:rsid w:val="006A1F4E"/>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6A1F4E"/>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6A1F4E"/>
    <w:pPr>
      <w:numPr>
        <w:ilvl w:val="1"/>
      </w:numPr>
    </w:pPr>
    <w:rPr>
      <w:rFonts w:eastAsia="Times New Roman"/>
      <w:color w:val="595959"/>
      <w:spacing w:val="15"/>
      <w:sz w:val="28"/>
      <w:szCs w:val="28"/>
    </w:rPr>
  </w:style>
  <w:style w:type="character" w:customStyle="1" w:styleId="Sous-titreCar">
    <w:name w:val="Sous-titre Car"/>
    <w:link w:val="Sous-titre"/>
    <w:uiPriority w:val="11"/>
    <w:rsid w:val="006A1F4E"/>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6A1F4E"/>
    <w:pPr>
      <w:spacing w:before="160"/>
      <w:jc w:val="center"/>
    </w:pPr>
    <w:rPr>
      <w:i/>
      <w:iCs/>
      <w:color w:val="404040"/>
    </w:rPr>
  </w:style>
  <w:style w:type="character" w:customStyle="1" w:styleId="CitationCar">
    <w:name w:val="Citation Car"/>
    <w:link w:val="Citation"/>
    <w:uiPriority w:val="29"/>
    <w:rsid w:val="006A1F4E"/>
    <w:rPr>
      <w:i/>
      <w:iCs/>
      <w:color w:val="404040"/>
    </w:rPr>
  </w:style>
  <w:style w:type="paragraph" w:styleId="Paragraphedeliste">
    <w:name w:val="List Paragraph"/>
    <w:basedOn w:val="Normal"/>
    <w:uiPriority w:val="34"/>
    <w:qFormat/>
    <w:rsid w:val="006A1F4E"/>
    <w:pPr>
      <w:ind w:left="720"/>
      <w:contextualSpacing/>
    </w:pPr>
  </w:style>
  <w:style w:type="character" w:styleId="Accentuationintense">
    <w:name w:val="Intense Emphasis"/>
    <w:uiPriority w:val="21"/>
    <w:qFormat/>
    <w:rsid w:val="006A1F4E"/>
    <w:rPr>
      <w:i/>
      <w:iCs/>
      <w:color w:val="0F4761"/>
    </w:rPr>
  </w:style>
  <w:style w:type="paragraph" w:styleId="Citationintense">
    <w:name w:val="Intense Quote"/>
    <w:basedOn w:val="Normal"/>
    <w:next w:val="Normal"/>
    <w:link w:val="CitationintenseCar"/>
    <w:uiPriority w:val="30"/>
    <w:qFormat/>
    <w:rsid w:val="006A1F4E"/>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6A1F4E"/>
    <w:rPr>
      <w:i/>
      <w:iCs/>
      <w:color w:val="0F4761"/>
    </w:rPr>
  </w:style>
  <w:style w:type="character" w:styleId="Rfrenceintense">
    <w:name w:val="Intense Reference"/>
    <w:uiPriority w:val="32"/>
    <w:qFormat/>
    <w:rsid w:val="006A1F4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4D00905-8D06-4D9D-9131-72FF0DA1D540}"/>
</file>

<file path=customXml/itemProps2.xml><?xml version="1.0" encoding="utf-8"?>
<ds:datastoreItem xmlns:ds="http://schemas.openxmlformats.org/officeDocument/2006/customXml" ds:itemID="{661CD0DA-2F28-4BF8-AC09-B66408D3EE06}"/>
</file>

<file path=customXml/itemProps3.xml><?xml version="1.0" encoding="utf-8"?>
<ds:datastoreItem xmlns:ds="http://schemas.openxmlformats.org/officeDocument/2006/customXml" ds:itemID="{FF5DEDBC-C360-46B3-98C7-2284D00E4AE6}"/>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3255</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Magda SANTOS</dc:creator>
  <cp:keywords/>
  <dc:description/>
  <cp:lastModifiedBy>Magda SANTOS</cp:lastModifiedBy>
  <cp:revision>1</cp:revision>
  <dcterms:created xsi:type="dcterms:W3CDTF">2024-04-18T12:38:00Z</dcterms:created>
  <dcterms:modified xsi:type="dcterms:W3CDTF">2024-04-18T12:39:00Z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