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5D0DEBD1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721190">
        <w:rPr>
          <w:rFonts w:ascii="Arial" w:eastAsia="Calibri" w:hAnsi="Arial" w:cs="Arial"/>
          <w:b/>
          <w:bCs/>
          <w:kern w:val="0"/>
          <w14:ligatures w14:val="none"/>
        </w:rPr>
        <w:t>309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30ED2F30" w14:textId="75DB9CA8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C</w:t>
      </w:r>
      <w:r w:rsidRPr="00102A0A">
        <w:rPr>
          <w:rFonts w:ascii="Arial" w:eastAsia="Aptos" w:hAnsi="Arial" w:cs="Arial"/>
          <w:kern w:val="0"/>
          <w14:ligatures w14:val="none"/>
        </w:rPr>
        <w:t xml:space="preserve">e </w:t>
      </w:r>
      <w:r w:rsidR="00F74E2C">
        <w:rPr>
          <w:rFonts w:ascii="Arial" w:eastAsia="Aptos" w:hAnsi="Arial" w:cs="Arial"/>
          <w:kern w:val="0"/>
          <w14:ligatures w14:val="none"/>
        </w:rPr>
        <w:t>dispositif</w:t>
      </w:r>
      <w:r w:rsidRPr="00102A0A">
        <w:rPr>
          <w:rFonts w:ascii="Arial" w:eastAsia="Aptos" w:hAnsi="Arial" w:cs="Arial"/>
          <w:kern w:val="0"/>
          <w14:ligatures w14:val="none"/>
        </w:rPr>
        <w:t xml:space="preserve"> met en œuvre le règlement (UE) </w:t>
      </w:r>
      <w:r w:rsidRPr="00102A0A">
        <w:rPr>
          <w:rFonts w:ascii="Arial" w:eastAsia="Calibri" w:hAnsi="Arial" w:cs="Arial"/>
          <w:kern w:val="0"/>
          <w14:ligatures w14:val="none"/>
        </w:rPr>
        <w:t xml:space="preserve">2022/2065 </w:t>
      </w:r>
      <w:r w:rsidRPr="00102A0A">
        <w:rPr>
          <w:rFonts w:ascii="Arial" w:eastAsia="Aptos" w:hAnsi="Arial" w:cs="Arial"/>
          <w:kern w:val="0"/>
          <w14:ligatures w14:val="none"/>
        </w:rPr>
        <w:t xml:space="preserve">du Parlement européen et du Conseil du 19 octobre 2022, connu sous le nom de « Digital Services </w:t>
      </w:r>
      <w:proofErr w:type="spellStart"/>
      <w:r w:rsidRPr="00102A0A">
        <w:rPr>
          <w:rFonts w:ascii="Arial" w:eastAsia="Aptos" w:hAnsi="Arial" w:cs="Arial"/>
          <w:kern w:val="0"/>
          <w14:ligatures w14:val="none"/>
        </w:rPr>
        <w:t>Act</w:t>
      </w:r>
      <w:proofErr w:type="spellEnd"/>
      <w:r w:rsidRPr="00102A0A">
        <w:rPr>
          <w:rFonts w:ascii="Arial" w:eastAsia="Aptos" w:hAnsi="Arial" w:cs="Arial"/>
          <w:kern w:val="0"/>
          <w14:ligatures w14:val="none"/>
        </w:rPr>
        <w:t> »</w:t>
      </w:r>
      <w:r w:rsidR="00695BAA">
        <w:rPr>
          <w:rFonts w:ascii="Arial" w:eastAsia="Aptos" w:hAnsi="Arial" w:cs="Arial"/>
          <w:kern w:val="0"/>
          <w14:ligatures w14:val="none"/>
        </w:rPr>
        <w:t xml:space="preserve"> (DSA)</w:t>
      </w:r>
      <w:r w:rsidRPr="00102A0A">
        <w:rPr>
          <w:rFonts w:ascii="Arial" w:eastAsia="Aptos" w:hAnsi="Arial" w:cs="Arial"/>
          <w:kern w:val="0"/>
          <w14:ligatures w14:val="none"/>
        </w:rPr>
        <w:t>, relatif à un marché unique des services numériques et modifiant la directive 2000/31/CE (règlement sur les services numériques), datant de 2000.</w:t>
      </w:r>
    </w:p>
    <w:p w14:paraId="16380C85" w14:textId="77777777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7F451A1D" w14:textId="3FFE2BE5" w:rsidR="00102A0A" w:rsidRP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 w:rsidRPr="00102A0A">
        <w:rPr>
          <w:rFonts w:ascii="Arial" w:eastAsia="Aptos" w:hAnsi="Arial" w:cs="Arial"/>
          <w:kern w:val="0"/>
          <w14:ligatures w14:val="none"/>
        </w:rPr>
        <w:t xml:space="preserve">Son principal objectif est, d’une part, de désigner le coordinateur des services numériques, ou </w:t>
      </w:r>
      <w:bookmarkStart w:id="0" w:name="_Hlk193975556"/>
      <w:r w:rsidRPr="00102A0A">
        <w:rPr>
          <w:rFonts w:ascii="Arial" w:eastAsia="Aptos" w:hAnsi="Arial" w:cs="Arial"/>
          <w:kern w:val="0"/>
          <w14:ligatures w14:val="none"/>
        </w:rPr>
        <w:t xml:space="preserve">« Digital Services </w:t>
      </w:r>
      <w:proofErr w:type="spellStart"/>
      <w:r w:rsidRPr="00102A0A">
        <w:rPr>
          <w:rFonts w:ascii="Arial" w:eastAsia="Aptos" w:hAnsi="Arial" w:cs="Arial"/>
          <w:kern w:val="0"/>
          <w14:ligatures w14:val="none"/>
        </w:rPr>
        <w:t>Coordinator</w:t>
      </w:r>
      <w:proofErr w:type="spellEnd"/>
      <w:r w:rsidRPr="00102A0A">
        <w:rPr>
          <w:rFonts w:ascii="Arial" w:eastAsia="Aptos" w:hAnsi="Arial" w:cs="Arial"/>
          <w:kern w:val="0"/>
          <w14:ligatures w14:val="none"/>
        </w:rPr>
        <w:t> »</w:t>
      </w:r>
      <w:r w:rsidR="00695BAA">
        <w:rPr>
          <w:rFonts w:ascii="Arial" w:eastAsia="Aptos" w:hAnsi="Arial" w:cs="Arial"/>
          <w:kern w:val="0"/>
          <w14:ligatures w14:val="none"/>
        </w:rPr>
        <w:t xml:space="preserve"> (DSC)</w:t>
      </w:r>
      <w:r w:rsidRPr="00102A0A">
        <w:rPr>
          <w:rFonts w:ascii="Arial" w:eastAsia="Aptos" w:hAnsi="Arial" w:cs="Arial"/>
          <w:kern w:val="0"/>
          <w14:ligatures w14:val="none"/>
        </w:rPr>
        <w:t xml:space="preserve">, </w:t>
      </w:r>
      <w:bookmarkEnd w:id="0"/>
      <w:r w:rsidRPr="00102A0A">
        <w:rPr>
          <w:rFonts w:ascii="Arial" w:eastAsia="Aptos" w:hAnsi="Arial" w:cs="Arial"/>
          <w:kern w:val="0"/>
          <w14:ligatures w14:val="none"/>
        </w:rPr>
        <w:t xml:space="preserve">et, d’autre part, de définir les sanctions qu’il pourra appliquer dans le cadre du </w:t>
      </w:r>
      <w:r w:rsidR="00695BAA">
        <w:rPr>
          <w:rFonts w:ascii="Arial" w:eastAsia="Aptos" w:hAnsi="Arial" w:cs="Arial"/>
          <w:kern w:val="0"/>
          <w14:ligatures w14:val="none"/>
        </w:rPr>
        <w:t>DSA</w:t>
      </w:r>
      <w:r w:rsidRPr="00102A0A">
        <w:rPr>
          <w:rFonts w:ascii="Arial" w:eastAsia="Aptos" w:hAnsi="Arial" w:cs="Arial"/>
          <w:kern w:val="0"/>
          <w14:ligatures w14:val="none"/>
        </w:rPr>
        <w:t xml:space="preserve">. Bien que ce règlement européen soit directement applicable, les États membres doivent établir des procédures spécifiques pour l’exercice des pouvoirs du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 w:rsidR="006B715A" w:rsidRPr="00102A0A">
        <w:rPr>
          <w:rFonts w:ascii="Arial" w:eastAsia="Aptos" w:hAnsi="Arial" w:cs="Arial"/>
          <w:kern w:val="0"/>
          <w14:ligatures w14:val="none"/>
        </w:rPr>
        <w:t>,</w:t>
      </w:r>
      <w:r w:rsidRPr="00102A0A">
        <w:rPr>
          <w:rFonts w:ascii="Arial" w:eastAsia="Aptos" w:hAnsi="Arial" w:cs="Arial"/>
          <w:kern w:val="0"/>
          <w14:ligatures w14:val="none"/>
        </w:rPr>
        <w:t xml:space="preserve"> d’où la nécessité d’instituer des mécanismes d’enquête et d’exécution, inspirés du droit de la concurrence et des pratiques de la Commission européenne.</w:t>
      </w:r>
    </w:p>
    <w:p w14:paraId="19D0657F" w14:textId="77777777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3D6E15DF" w14:textId="3B361C12" w:rsid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 w:rsidRPr="00102A0A">
        <w:rPr>
          <w:rFonts w:ascii="Arial" w:eastAsia="Aptos" w:hAnsi="Arial" w:cs="Arial"/>
          <w:kern w:val="0"/>
          <w14:ligatures w14:val="none"/>
        </w:rPr>
        <w:t>L</w:t>
      </w:r>
      <w:r>
        <w:rPr>
          <w:rFonts w:ascii="Arial" w:eastAsia="Aptos" w:hAnsi="Arial" w:cs="Arial"/>
          <w:kern w:val="0"/>
          <w14:ligatures w14:val="none"/>
        </w:rPr>
        <w:t>e projet de loi désigne l</w:t>
      </w:r>
      <w:r w:rsidRPr="00102A0A">
        <w:rPr>
          <w:rFonts w:ascii="Arial" w:eastAsia="Aptos" w:hAnsi="Arial" w:cs="Arial"/>
          <w:kern w:val="0"/>
          <w14:ligatures w14:val="none"/>
        </w:rPr>
        <w:t>’Autorité de la concurrence</w:t>
      </w:r>
      <w:r w:rsidR="006B715A">
        <w:rPr>
          <w:rFonts w:ascii="Arial" w:eastAsia="Aptos" w:hAnsi="Arial" w:cs="Arial"/>
          <w:kern w:val="0"/>
          <w14:ligatures w14:val="none"/>
        </w:rPr>
        <w:t xml:space="preserve"> </w:t>
      </w:r>
      <w:r>
        <w:rPr>
          <w:rFonts w:ascii="Arial" w:eastAsia="Aptos" w:hAnsi="Arial" w:cs="Arial"/>
          <w:kern w:val="0"/>
          <w14:ligatures w14:val="none"/>
        </w:rPr>
        <w:t xml:space="preserve">comme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 w:rsidRPr="00102A0A">
        <w:rPr>
          <w:rFonts w:ascii="Arial" w:eastAsia="Aptos" w:hAnsi="Arial" w:cs="Arial"/>
          <w:kern w:val="0"/>
          <w14:ligatures w14:val="none"/>
        </w:rPr>
        <w:t>,</w:t>
      </w:r>
      <w:r>
        <w:rPr>
          <w:rFonts w:ascii="Arial" w:eastAsia="Aptos" w:hAnsi="Arial" w:cs="Arial"/>
          <w:kern w:val="0"/>
          <w14:ligatures w14:val="none"/>
        </w:rPr>
        <w:t xml:space="preserve"> </w:t>
      </w:r>
      <w:r w:rsidRPr="00102A0A">
        <w:rPr>
          <w:rFonts w:ascii="Arial" w:eastAsia="Aptos" w:hAnsi="Arial" w:cs="Arial"/>
          <w:kern w:val="0"/>
          <w14:ligatures w14:val="none"/>
        </w:rPr>
        <w:t xml:space="preserve">afin de capitaliser sur les compétences déjà disponibles et </w:t>
      </w:r>
      <w:r w:rsidR="00342399">
        <w:rPr>
          <w:rFonts w:ascii="Arial" w:eastAsia="Aptos" w:hAnsi="Arial" w:cs="Arial"/>
          <w:kern w:val="0"/>
          <w14:ligatures w14:val="none"/>
        </w:rPr>
        <w:t>d’</w:t>
      </w:r>
      <w:r w:rsidRPr="00102A0A">
        <w:rPr>
          <w:rFonts w:ascii="Arial" w:eastAsia="Aptos" w:hAnsi="Arial" w:cs="Arial"/>
          <w:kern w:val="0"/>
          <w14:ligatures w14:val="none"/>
        </w:rPr>
        <w:t xml:space="preserve">éviter les coûts de création d'une nouvelle entité. L'Autorité de la concurrence possède déjà des pouvoirs comparables à ceux du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>
        <w:rPr>
          <w:rFonts w:ascii="Arial" w:eastAsia="Aptos" w:hAnsi="Arial" w:cs="Arial"/>
          <w:kern w:val="0"/>
          <w14:ligatures w14:val="none"/>
        </w:rPr>
        <w:t>.</w:t>
      </w:r>
    </w:p>
    <w:p w14:paraId="0488136F" w14:textId="77777777" w:rsid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35D477A1" w14:textId="25DFA02E" w:rsidR="00102A0A" w:rsidRPr="009C3B61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L</w:t>
      </w:r>
      <w:r w:rsidRPr="00102A0A">
        <w:rPr>
          <w:rFonts w:ascii="Arial" w:eastAsia="Aptos" w:hAnsi="Arial" w:cs="Arial"/>
          <w:kern w:val="0"/>
          <w14:ligatures w14:val="none"/>
        </w:rPr>
        <w:t>e projet de loi prévoit que l’Autorité de la concurrence puisse collaborer avec les autorités nationales sectorielles déjà compétentes dans la lutte contre la diffusion de contenus illégaux sur Internet.</w:t>
      </w:r>
    </w:p>
    <w:p w14:paraId="70B38CFA" w14:textId="77777777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B0571"/>
    <w:rsid w:val="000C3581"/>
    <w:rsid w:val="00102A0A"/>
    <w:rsid w:val="001152EA"/>
    <w:rsid w:val="00165EBE"/>
    <w:rsid w:val="00271AB8"/>
    <w:rsid w:val="00295109"/>
    <w:rsid w:val="00342399"/>
    <w:rsid w:val="00385F00"/>
    <w:rsid w:val="003B3224"/>
    <w:rsid w:val="003C08B9"/>
    <w:rsid w:val="003E463B"/>
    <w:rsid w:val="003F5976"/>
    <w:rsid w:val="004F1A9E"/>
    <w:rsid w:val="00543992"/>
    <w:rsid w:val="00587321"/>
    <w:rsid w:val="005B5124"/>
    <w:rsid w:val="0060587A"/>
    <w:rsid w:val="00695BAA"/>
    <w:rsid w:val="006A14A1"/>
    <w:rsid w:val="006B715A"/>
    <w:rsid w:val="006C5DFD"/>
    <w:rsid w:val="00705D90"/>
    <w:rsid w:val="00721190"/>
    <w:rsid w:val="008D31D7"/>
    <w:rsid w:val="009310CE"/>
    <w:rsid w:val="00945DF3"/>
    <w:rsid w:val="009B2F0B"/>
    <w:rsid w:val="009C3B61"/>
    <w:rsid w:val="00A05719"/>
    <w:rsid w:val="00A41177"/>
    <w:rsid w:val="00A51DC7"/>
    <w:rsid w:val="00A77D09"/>
    <w:rsid w:val="00B02BF0"/>
    <w:rsid w:val="00B2786D"/>
    <w:rsid w:val="00B643C9"/>
    <w:rsid w:val="00B93327"/>
    <w:rsid w:val="00BE5EB0"/>
    <w:rsid w:val="00C1553C"/>
    <w:rsid w:val="00C31C48"/>
    <w:rsid w:val="00C81A5C"/>
    <w:rsid w:val="00CA5545"/>
    <w:rsid w:val="00CC5980"/>
    <w:rsid w:val="00D31B11"/>
    <w:rsid w:val="00D34BC6"/>
    <w:rsid w:val="00E75F79"/>
    <w:rsid w:val="00F10680"/>
    <w:rsid w:val="00F5533A"/>
    <w:rsid w:val="00F64E90"/>
    <w:rsid w:val="00F74E2C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F68261E-9358-4EA6-975D-2982774A90FC}"/>
</file>

<file path=customXml/itemProps2.xml><?xml version="1.0" encoding="utf-8"?>
<ds:datastoreItem xmlns:ds="http://schemas.openxmlformats.org/officeDocument/2006/customXml" ds:itemID="{FC8E82E4-60F4-4C6F-89D0-9A26345AAD42}"/>
</file>

<file path=customXml/itemProps3.xml><?xml version="1.0" encoding="utf-8"?>
<ds:datastoreItem xmlns:ds="http://schemas.openxmlformats.org/officeDocument/2006/customXml" ds:itemID="{0E3CEBDA-9033-4039-BBCC-E55F425AD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2025-03-28T09:15:00Z</dcterms:created>
  <dcterms:modified xsi:type="dcterms:W3CDTF">2025-03-28T09:15:00Z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