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E7D93" w14:textId="6D252ED5" w:rsidR="00482AA2" w:rsidRPr="00551F78" w:rsidRDefault="00482AA2" w:rsidP="00551F78">
      <w:pPr>
        <w:jc w:val="center"/>
        <w:rPr>
          <w:u w:val="single"/>
        </w:rPr>
      </w:pPr>
      <w:r w:rsidRPr="00551F78">
        <w:rPr>
          <w:u w:val="single"/>
        </w:rPr>
        <w:t>Synthèse du projet de loi n°8299A</w:t>
      </w:r>
    </w:p>
    <w:p w14:paraId="0847AC4C" w14:textId="77777777" w:rsidR="00482AA2" w:rsidRDefault="00482AA2" w:rsidP="00482AA2"/>
    <w:p w14:paraId="65E17F5E" w14:textId="13644214" w:rsidR="00482AA2" w:rsidRDefault="00482AA2" w:rsidP="00482AA2">
      <w:r>
        <w:t>Dans sa version initiale, le projet de loi</w:t>
      </w:r>
      <w:r w:rsidRPr="00973B08">
        <w:t xml:space="preserve"> n°8</w:t>
      </w:r>
      <w:r>
        <w:t xml:space="preserve">299 </w:t>
      </w:r>
      <w:proofErr w:type="gramStart"/>
      <w:r>
        <w:t>relatif</w:t>
      </w:r>
      <w:proofErr w:type="gramEnd"/>
      <w:r>
        <w:t xml:space="preserve"> au</w:t>
      </w:r>
      <w:r w:rsidRPr="00546963">
        <w:t xml:space="preserve"> programme pluriannuel de recrutement dans la magistrature de l’ordre judiciaire prévoyait la création de </w:t>
      </w:r>
      <w:r>
        <w:t>194</w:t>
      </w:r>
      <w:r w:rsidRPr="00546963">
        <w:t xml:space="preserve"> nouveaux postes de magistrat. Il </w:t>
      </w:r>
      <w:r>
        <w:t>était</w:t>
      </w:r>
      <w:r w:rsidRPr="00546963">
        <w:t xml:space="preserve"> proposé d’échelonner la création de ces postes sur une période de six années judiciaires.</w:t>
      </w:r>
    </w:p>
    <w:p w14:paraId="16E02ECA" w14:textId="77777777" w:rsidR="00482AA2" w:rsidRDefault="00482AA2" w:rsidP="00482AA2"/>
    <w:p w14:paraId="316FB59A" w14:textId="77777777" w:rsidR="00482AA2" w:rsidRDefault="00482AA2" w:rsidP="00482AA2">
      <w:proofErr w:type="gramStart"/>
      <w:r>
        <w:t>Suite aux</w:t>
      </w:r>
      <w:proofErr w:type="gramEnd"/>
      <w:r>
        <w:t xml:space="preserve"> avis du </w:t>
      </w:r>
      <w:r w:rsidRPr="00546963">
        <w:t>Conseil national de la justice (</w:t>
      </w:r>
      <w:r>
        <w:t>ci-après « </w:t>
      </w:r>
      <w:r w:rsidRPr="00546963">
        <w:t>CNJ</w:t>
      </w:r>
      <w:r>
        <w:t> »</w:t>
      </w:r>
      <w:r w:rsidRPr="00546963">
        <w:t>)</w:t>
      </w:r>
      <w:r>
        <w:t>, d</w:t>
      </w:r>
      <w:r w:rsidRPr="00546963">
        <w:t xml:space="preserve">es </w:t>
      </w:r>
      <w:r>
        <w:t>C</w:t>
      </w:r>
      <w:r w:rsidRPr="00546963">
        <w:t>hefs de corps de l’ordre judiciair</w:t>
      </w:r>
      <w:r>
        <w:t xml:space="preserve">e et à l’évaluation du Groupe d’action financière (ci-après « GAFI »), le projet de loi n°8299 a été scindé en deux projets de lois distincts, à savoir le projet de loi n°8299A sur le programme pluriannuel de recrutement dans la magistrature et le projet de loi n°8299B sur la création d’un </w:t>
      </w:r>
      <w:r w:rsidRPr="00EE7DB2">
        <w:rPr>
          <w:i/>
          <w:iCs/>
        </w:rPr>
        <w:t>pool</w:t>
      </w:r>
      <w:r>
        <w:t xml:space="preserve"> de réserve de postes de magistrat auprès du CNJ. </w:t>
      </w:r>
      <w:r w:rsidRPr="008E0980">
        <w:t>La création totale de 194 postes, telle qu'elle était prévue dans le projet de loi initial, est toutefois maintenue sous une forme adaptée.</w:t>
      </w:r>
    </w:p>
    <w:p w14:paraId="2596B3F5" w14:textId="77777777" w:rsidR="00482AA2" w:rsidRDefault="00482AA2" w:rsidP="00482AA2"/>
    <w:p w14:paraId="21827DC5" w14:textId="77777777" w:rsidR="00482AA2" w:rsidRDefault="00482AA2" w:rsidP="00482AA2">
      <w:r>
        <w:t xml:space="preserve">Le projet de loi n°8299A couvre une période de référence plus courte que celle initialement prévue. Le programme de recrutement, tel qu’amendé </w:t>
      </w:r>
      <w:r w:rsidRPr="00EC472D">
        <w:t xml:space="preserve">le </w:t>
      </w:r>
      <w:r>
        <w:t>2</w:t>
      </w:r>
      <w:r w:rsidRPr="00EC472D">
        <w:t xml:space="preserve"> mai 2024,</w:t>
      </w:r>
      <w:r>
        <w:t xml:space="preserve"> prévoit la création de 94 nouveaux postes de magistrat de l’ordre judiciaire pour les années judiciaires 2024/2025 (32 nouveaux postes), 2025/2026 (31 nouveaux postes) et 2026/2027 (31 nouveaux postes).</w:t>
      </w:r>
    </w:p>
    <w:p w14:paraId="261FB826" w14:textId="77777777" w:rsidR="00482AA2" w:rsidRDefault="00482AA2" w:rsidP="00482AA2"/>
    <w:p w14:paraId="29E84B85" w14:textId="77777777" w:rsidR="00482AA2" w:rsidRDefault="00482AA2" w:rsidP="00482AA2">
      <w:r w:rsidRPr="00B74777">
        <w:t xml:space="preserve">Les 94 nouveaux postes de magistrat de l’ordre judiciaire sont attribués comme suit : </w:t>
      </w:r>
    </w:p>
    <w:p w14:paraId="4FA5EC41" w14:textId="77777777" w:rsidR="00482AA2" w:rsidRDefault="00482AA2" w:rsidP="00482AA2"/>
    <w:p w14:paraId="2B6569A2" w14:textId="77777777" w:rsidR="00482AA2" w:rsidRDefault="00482AA2" w:rsidP="00482AA2">
      <w:pPr>
        <w:pStyle w:val="Paragraphedeliste"/>
        <w:numPr>
          <w:ilvl w:val="0"/>
          <w:numId w:val="1"/>
        </w:numPr>
      </w:pPr>
      <w:r w:rsidRPr="00B74777">
        <w:t xml:space="preserve">Cour d’appel : 10 postes </w:t>
      </w:r>
    </w:p>
    <w:p w14:paraId="6C923488" w14:textId="77777777" w:rsidR="00482AA2" w:rsidRDefault="00482AA2" w:rsidP="00482AA2">
      <w:pPr>
        <w:pStyle w:val="Paragraphedeliste"/>
        <w:numPr>
          <w:ilvl w:val="0"/>
          <w:numId w:val="1"/>
        </w:numPr>
      </w:pPr>
      <w:r w:rsidRPr="00B74777">
        <w:t xml:space="preserve">Parquet général : 7 postes </w:t>
      </w:r>
    </w:p>
    <w:p w14:paraId="3FF62697" w14:textId="77777777" w:rsidR="00482AA2" w:rsidRDefault="00482AA2" w:rsidP="00482AA2">
      <w:pPr>
        <w:pStyle w:val="Paragraphedeliste"/>
        <w:numPr>
          <w:ilvl w:val="0"/>
          <w:numId w:val="1"/>
        </w:numPr>
      </w:pPr>
      <w:r w:rsidRPr="00B74777">
        <w:t>Tribunal d’arrondissement de Luxembourg : 32 postes</w:t>
      </w:r>
    </w:p>
    <w:p w14:paraId="613338F5" w14:textId="77777777" w:rsidR="00482AA2" w:rsidRDefault="00482AA2" w:rsidP="00482AA2">
      <w:pPr>
        <w:pStyle w:val="Paragraphedeliste"/>
        <w:numPr>
          <w:ilvl w:val="0"/>
          <w:numId w:val="1"/>
        </w:numPr>
      </w:pPr>
      <w:r w:rsidRPr="00B74777">
        <w:t xml:space="preserve">Parquet du Tribunal arrondissement de Luxembourg : 22 postes </w:t>
      </w:r>
    </w:p>
    <w:p w14:paraId="051D0180" w14:textId="77777777" w:rsidR="00482AA2" w:rsidRDefault="00482AA2" w:rsidP="00482AA2">
      <w:pPr>
        <w:pStyle w:val="Paragraphedeliste"/>
        <w:numPr>
          <w:ilvl w:val="0"/>
          <w:numId w:val="1"/>
        </w:numPr>
      </w:pPr>
      <w:r w:rsidRPr="00B74777">
        <w:t xml:space="preserve">Tribunal d’arrondissement de Diekirch : 11 postes </w:t>
      </w:r>
    </w:p>
    <w:p w14:paraId="44CF2D98" w14:textId="77777777" w:rsidR="00482AA2" w:rsidRDefault="00482AA2" w:rsidP="00482AA2">
      <w:pPr>
        <w:pStyle w:val="Paragraphedeliste"/>
        <w:numPr>
          <w:ilvl w:val="0"/>
          <w:numId w:val="1"/>
        </w:numPr>
      </w:pPr>
      <w:r w:rsidRPr="00B74777">
        <w:t xml:space="preserve">Parquet du Tribunal arrondissement de Diekirch : 5 postes </w:t>
      </w:r>
    </w:p>
    <w:p w14:paraId="5B14EC7F" w14:textId="77777777" w:rsidR="00482AA2" w:rsidRDefault="00482AA2" w:rsidP="00482AA2">
      <w:pPr>
        <w:pStyle w:val="Paragraphedeliste"/>
        <w:numPr>
          <w:ilvl w:val="0"/>
          <w:numId w:val="1"/>
        </w:numPr>
      </w:pPr>
      <w:r w:rsidRPr="00B74777">
        <w:t xml:space="preserve">Cellule de renseignement financier : 6 postes </w:t>
      </w:r>
    </w:p>
    <w:p w14:paraId="4CC19A87" w14:textId="77777777" w:rsidR="00482AA2" w:rsidRDefault="00482AA2" w:rsidP="00482AA2">
      <w:pPr>
        <w:pStyle w:val="Paragraphedeliste"/>
        <w:numPr>
          <w:ilvl w:val="0"/>
          <w:numId w:val="1"/>
        </w:numPr>
      </w:pPr>
      <w:r w:rsidRPr="00B74777">
        <w:t xml:space="preserve">Justice de paix de Diekirch : 1 poste </w:t>
      </w:r>
    </w:p>
    <w:p w14:paraId="3A521771" w14:textId="77777777" w:rsidR="00482AA2" w:rsidRDefault="00482AA2" w:rsidP="00482AA2"/>
    <w:p w14:paraId="7A5A2130" w14:textId="77777777" w:rsidR="00482AA2" w:rsidRDefault="00482AA2" w:rsidP="00482AA2">
      <w:r w:rsidRPr="00B74777">
        <w:t>Les amendements</w:t>
      </w:r>
      <w:r>
        <w:t xml:space="preserve"> du 10 mai 2024</w:t>
      </w:r>
      <w:r w:rsidRPr="00B74777">
        <w:t xml:space="preserve"> visent à garantir des perspectives de carrière raisonnables </w:t>
      </w:r>
      <w:r>
        <w:t>aux</w:t>
      </w:r>
      <w:r w:rsidRPr="00B74777">
        <w:t xml:space="preserve"> membres de la magistrature de l’ordre judiciaire. Parmi les 94 nouveaux postes de magistrat, il y aura cinq postes du grade M6, neuf postes du grade M5, 31 postes du grade M4, 23 postes du grade M3 et 26 postes du grade M2. En outre, trois postes existants de magistrat sont transformés et classés dans un grade supérieur.</w:t>
      </w:r>
    </w:p>
    <w:p w14:paraId="6EB83827" w14:textId="77777777" w:rsidR="00482AA2" w:rsidRDefault="00482AA2" w:rsidP="00482AA2"/>
    <w:p w14:paraId="2C4F2AFA" w14:textId="77777777" w:rsidR="00482AA2" w:rsidRDefault="00482AA2" w:rsidP="00482AA2">
      <w:r>
        <w:t>L’Office des procureurs européens délégués, qui comprend actuellement 2 magistrats, sera également renforcé. Son effectif maximum sera de 7 postes de procureur européen délégué. Il appartiendra au Conseil national de la justice de fixer le nombre effectif des procureurs européens délégués dans le cadre de la fourchette déterminée par le législateur.</w:t>
      </w:r>
    </w:p>
    <w:p w14:paraId="74308791" w14:textId="77777777" w:rsidR="00482AA2" w:rsidRDefault="00482AA2" w:rsidP="00482AA2"/>
    <w:p w14:paraId="04CDC236" w14:textId="77777777" w:rsidR="00482AA2" w:rsidRDefault="00482AA2" w:rsidP="00482AA2">
      <w:r>
        <w:t xml:space="preserve">À noter que l’augmentation </w:t>
      </w:r>
      <w:r w:rsidRPr="008E0980">
        <w:t xml:space="preserve">des effectifs de la magistrature dépend d'une réforme du recrutement et de la formation professionnelle des attachés </w:t>
      </w:r>
      <w:r>
        <w:t>de justice. Comme l</w:t>
      </w:r>
      <w:r w:rsidRPr="008E0980">
        <w:t>a réforme des conditions d'accès à la magistrature est une priorité politique</w:t>
      </w:r>
      <w:r>
        <w:t xml:space="preserve"> du gouvernement, un</w:t>
      </w:r>
      <w:r w:rsidRPr="008E0980">
        <w:t xml:space="preserve"> projet de réforme de la législation relative aux attachés </w:t>
      </w:r>
      <w:r>
        <w:t>de justice</w:t>
      </w:r>
      <w:r w:rsidRPr="008E0980">
        <w:t xml:space="preserve"> sera introduit dans le processus législatif. </w:t>
      </w:r>
    </w:p>
    <w:p w14:paraId="64A040E5" w14:textId="77777777" w:rsidR="00482AA2" w:rsidRDefault="00482AA2" w:rsidP="00482AA2"/>
    <w:p w14:paraId="72E682A1" w14:textId="77777777" w:rsidR="00482AA2" w:rsidRPr="00AB2699" w:rsidRDefault="00482AA2" w:rsidP="00482AA2">
      <w:pPr>
        <w:rPr>
          <w:rFonts w:cs="Arial"/>
          <w:b/>
          <w:bCs/>
          <w:u w:val="single"/>
        </w:rPr>
      </w:pPr>
      <w:r w:rsidRPr="008E0980">
        <w:t xml:space="preserve">Dans l'actuelle session de recrutement, 37 candidats </w:t>
      </w:r>
      <w:r>
        <w:t xml:space="preserve">ont </w:t>
      </w:r>
      <w:proofErr w:type="gramStart"/>
      <w:r>
        <w:t>postulé pour</w:t>
      </w:r>
      <w:proofErr w:type="gramEnd"/>
      <w:r>
        <w:t xml:space="preserve"> la fonction </w:t>
      </w:r>
      <w:r w:rsidRPr="008E0980">
        <w:t xml:space="preserve">d'attaché </w:t>
      </w:r>
      <w:r>
        <w:t>de justice à titre provisoire</w:t>
      </w:r>
      <w:r w:rsidRPr="008E0980">
        <w:t>,</w:t>
      </w:r>
      <w:r>
        <w:t xml:space="preserve"> qui est une</w:t>
      </w:r>
      <w:r w:rsidRPr="008E0980">
        <w:t xml:space="preserve"> condition </w:t>
      </w:r>
      <w:r>
        <w:t>préalable</w:t>
      </w:r>
      <w:r w:rsidRPr="008E0980">
        <w:t xml:space="preserve"> </w:t>
      </w:r>
      <w:r>
        <w:t>à l’accès</w:t>
      </w:r>
      <w:r w:rsidRPr="008E0980">
        <w:t xml:space="preserve"> aux fonctions de juge et de </w:t>
      </w:r>
      <w:r>
        <w:t>substitut.</w:t>
      </w:r>
      <w:r w:rsidRPr="008E0980">
        <w:t xml:space="preserve"> Il s'agit d'une </w:t>
      </w:r>
      <w:r>
        <w:t xml:space="preserve">forte </w:t>
      </w:r>
      <w:r w:rsidRPr="008E0980">
        <w:t>augmentation des candidatures par rapport aux années précédentes, où l'on comptait en moyenne une quinzaine de candidatures pour 25 postes vacants.</w:t>
      </w:r>
      <w:r>
        <w:t xml:space="preserve"> Sans attendre la réforme de la législation sur les attachés de justice, l’effectif légal du pool des attachés de justice passe de 30 à 50 postes.</w:t>
      </w:r>
    </w:p>
    <w:p w14:paraId="3307343D" w14:textId="77777777" w:rsidR="00670FDD" w:rsidRDefault="00670FDD"/>
    <w:sectPr w:rsidR="00670F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C0BE0"/>
    <w:multiLevelType w:val="hybridMultilevel"/>
    <w:tmpl w:val="7C6A5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58760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AA2"/>
    <w:rsid w:val="0041389D"/>
    <w:rsid w:val="00482AA2"/>
    <w:rsid w:val="00551F78"/>
    <w:rsid w:val="0063205C"/>
    <w:rsid w:val="00646C47"/>
    <w:rsid w:val="00670FDD"/>
    <w:rsid w:val="00755BAF"/>
    <w:rsid w:val="008768BB"/>
    <w:rsid w:val="008B3E4D"/>
    <w:rsid w:val="009568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05E6"/>
  <w15:chartTrackingRefBased/>
  <w15:docId w15:val="{7755FD5D-850B-40C6-987E-8BCAA2EB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AA2"/>
    <w:pPr>
      <w:jc w:val="both"/>
    </w:pPr>
    <w:rPr>
      <w:rFonts w:ascii="Arial" w:hAnsi="Arial"/>
    </w:rPr>
  </w:style>
  <w:style w:type="paragraph" w:styleId="Titre1">
    <w:name w:val="heading 1"/>
    <w:basedOn w:val="Normal"/>
    <w:next w:val="Normal"/>
    <w:link w:val="Titre1Car"/>
    <w:uiPriority w:val="9"/>
    <w:qFormat/>
    <w:rsid w:val="00482A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82A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82AA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82AA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482AA2"/>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482AA2"/>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482AA2"/>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482AA2"/>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482AA2"/>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2AA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82AA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82AA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82AA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82AA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82AA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82AA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82AA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82AA2"/>
    <w:rPr>
      <w:rFonts w:eastAsiaTheme="majorEastAsia" w:cstheme="majorBidi"/>
      <w:color w:val="272727" w:themeColor="text1" w:themeTint="D8"/>
    </w:rPr>
  </w:style>
  <w:style w:type="paragraph" w:styleId="Titre">
    <w:name w:val="Title"/>
    <w:basedOn w:val="Normal"/>
    <w:next w:val="Normal"/>
    <w:link w:val="TitreCar"/>
    <w:uiPriority w:val="10"/>
    <w:qFormat/>
    <w:rsid w:val="00482AA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82AA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82AA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82AA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82AA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82AA2"/>
    <w:rPr>
      <w:rFonts w:ascii="Arial" w:hAnsi="Arial"/>
      <w:i/>
      <w:iCs/>
      <w:color w:val="404040" w:themeColor="text1" w:themeTint="BF"/>
    </w:rPr>
  </w:style>
  <w:style w:type="paragraph" w:styleId="Paragraphedeliste">
    <w:name w:val="List Paragraph"/>
    <w:basedOn w:val="Normal"/>
    <w:uiPriority w:val="34"/>
    <w:qFormat/>
    <w:rsid w:val="00482AA2"/>
    <w:pPr>
      <w:ind w:left="720"/>
      <w:contextualSpacing/>
    </w:pPr>
  </w:style>
  <w:style w:type="character" w:styleId="Accentuationintense">
    <w:name w:val="Intense Emphasis"/>
    <w:basedOn w:val="Policepardfaut"/>
    <w:uiPriority w:val="21"/>
    <w:qFormat/>
    <w:rsid w:val="00482AA2"/>
    <w:rPr>
      <w:i/>
      <w:iCs/>
      <w:color w:val="0F4761" w:themeColor="accent1" w:themeShade="BF"/>
    </w:rPr>
  </w:style>
  <w:style w:type="paragraph" w:styleId="Citationintense">
    <w:name w:val="Intense Quote"/>
    <w:basedOn w:val="Normal"/>
    <w:next w:val="Normal"/>
    <w:link w:val="CitationintenseCar"/>
    <w:uiPriority w:val="30"/>
    <w:qFormat/>
    <w:rsid w:val="00482A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82AA2"/>
    <w:rPr>
      <w:rFonts w:ascii="Arial" w:hAnsi="Arial"/>
      <w:i/>
      <w:iCs/>
      <w:color w:val="0F4761" w:themeColor="accent1" w:themeShade="BF"/>
    </w:rPr>
  </w:style>
  <w:style w:type="character" w:styleId="Rfrenceintense">
    <w:name w:val="Intense Reference"/>
    <w:basedOn w:val="Policepardfaut"/>
    <w:uiPriority w:val="32"/>
    <w:qFormat/>
    <w:rsid w:val="00482A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DP8299A</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8299A</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/sftpecos/Dossiers_parlementaires/8299A/</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644E9ED-879B-4034-94BE-AE7A78B8FFF7}"/>
</file>

<file path=customXml/itemProps2.xml><?xml version="1.0" encoding="utf-8"?>
<ds:datastoreItem xmlns:ds="http://schemas.openxmlformats.org/officeDocument/2006/customXml" ds:itemID="{4CD656D8-4BA0-4E61-B987-60521D38A1F6}"/>
</file>

<file path=customXml/itemProps3.xml><?xml version="1.0" encoding="utf-8"?>
<ds:datastoreItem xmlns:ds="http://schemas.openxmlformats.org/officeDocument/2006/customXml" ds:itemID="{5034D60F-0CF5-4D00-9DAB-203291466C6C}"/>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2889</Characters>
  <Application>Microsoft Office Word</Application>
  <DocSecurity>4</DocSecurity>
  <Lines>24</Lines>
  <Paragraphs>6</Paragraphs>
  <ScaleCrop>false</ScaleCrop>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Magda SANTOS</cp:lastModifiedBy>
  <cp:revision>2</cp:revision>
  <dcterms:created xsi:type="dcterms:W3CDTF">2024-07-04T09:51:00Z</dcterms:created>
  <dcterms:modified xsi:type="dcterms:W3CDTF">2024-07-04T09:51:00Z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