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EE" w:rsidRPr="005D59EE" w:rsidRDefault="005D59EE" w:rsidP="005D59EE">
      <w:pPr>
        <w:spacing w:after="240" w:line="240" w:lineRule="auto"/>
        <w:jc w:val="center"/>
        <w:rPr>
          <w:b/>
          <w:sz w:val="24"/>
          <w:szCs w:val="24"/>
          <w:lang w:val="fr-FR"/>
        </w:rPr>
      </w:pPr>
      <w:bookmarkStart w:id="0" w:name="_GoBack"/>
      <w:bookmarkEnd w:id="0"/>
      <w:r w:rsidRPr="005D59EE">
        <w:rPr>
          <w:b/>
          <w:sz w:val="24"/>
          <w:szCs w:val="24"/>
          <w:lang w:val="fr-FR"/>
        </w:rPr>
        <w:t>8245</w:t>
      </w:r>
    </w:p>
    <w:p w:rsidR="005D59EE" w:rsidRPr="005D59EE" w:rsidRDefault="005D59EE" w:rsidP="005D59EE">
      <w:pPr>
        <w:spacing w:after="0" w:line="276" w:lineRule="auto"/>
        <w:jc w:val="center"/>
        <w:rPr>
          <w:rFonts w:eastAsia="Times New Roman"/>
          <w:b/>
          <w:bCs/>
          <w:sz w:val="24"/>
          <w:szCs w:val="24"/>
          <w:lang w:val="fr-FR" w:eastAsia="fr-FR"/>
        </w:rPr>
      </w:pPr>
      <w:r w:rsidRPr="005D59EE">
        <w:rPr>
          <w:rFonts w:eastAsia="Times New Roman"/>
          <w:b/>
          <w:bCs/>
          <w:sz w:val="24"/>
          <w:szCs w:val="24"/>
          <w:lang w:val="fr-FR" w:eastAsia="fr-FR"/>
        </w:rPr>
        <w:t>Proposition de modification</w:t>
      </w:r>
    </w:p>
    <w:p w:rsidR="005D59EE" w:rsidRPr="005D59EE" w:rsidRDefault="005D59EE" w:rsidP="005D59EE">
      <w:pPr>
        <w:spacing w:after="0" w:line="276" w:lineRule="auto"/>
        <w:jc w:val="center"/>
        <w:rPr>
          <w:rFonts w:eastAsia="Times New Roman"/>
          <w:b/>
          <w:bCs/>
          <w:sz w:val="24"/>
          <w:szCs w:val="24"/>
          <w:lang w:val="fr-FR" w:eastAsia="fr-FR"/>
        </w:rPr>
      </w:pPr>
      <w:r w:rsidRPr="005D59EE">
        <w:rPr>
          <w:rFonts w:eastAsia="Times New Roman"/>
          <w:b/>
          <w:bCs/>
          <w:sz w:val="24"/>
          <w:szCs w:val="24"/>
          <w:lang w:val="fr-FR" w:eastAsia="fr-FR"/>
        </w:rPr>
        <w:t>du Règlement de la Chambre des Députés</w:t>
      </w:r>
    </w:p>
    <w:p w:rsidR="005D59EE" w:rsidRPr="005D59EE" w:rsidRDefault="005D59EE" w:rsidP="005D59EE">
      <w:pPr>
        <w:spacing w:after="0" w:line="240" w:lineRule="auto"/>
        <w:jc w:val="center"/>
        <w:rPr>
          <w:b/>
          <w:sz w:val="24"/>
          <w:szCs w:val="24"/>
          <w:lang w:val="fr-FR"/>
        </w:rPr>
      </w:pPr>
      <w:r w:rsidRPr="005D59EE">
        <w:rPr>
          <w:rFonts w:eastAsia="Times New Roman"/>
          <w:b/>
          <w:bCs/>
          <w:sz w:val="24"/>
          <w:szCs w:val="24"/>
          <w:lang w:val="fr-FR" w:eastAsia="fr-FR"/>
        </w:rPr>
        <w:t>relative à la discipline</w:t>
      </w:r>
    </w:p>
    <w:p w:rsidR="005D59EE" w:rsidRPr="005D59EE" w:rsidRDefault="005D59EE" w:rsidP="005D59EE">
      <w:pPr>
        <w:spacing w:after="0" w:line="240" w:lineRule="auto"/>
        <w:jc w:val="center"/>
        <w:rPr>
          <w:b/>
          <w:sz w:val="24"/>
          <w:szCs w:val="24"/>
          <w:lang w:val="fr-FR"/>
        </w:rPr>
      </w:pPr>
    </w:p>
    <w:p w:rsidR="005D59EE" w:rsidRPr="005D59EE" w:rsidRDefault="005D59EE" w:rsidP="005D59EE">
      <w:pPr>
        <w:spacing w:after="0" w:line="240" w:lineRule="auto"/>
        <w:jc w:val="both"/>
        <w:rPr>
          <w:rFonts w:eastAsia="Times New Roman"/>
          <w:color w:val="000000"/>
          <w:sz w:val="24"/>
          <w:szCs w:val="24"/>
          <w:lang w:val="fr-FR" w:eastAsia="fr-FR"/>
        </w:rPr>
      </w:pPr>
      <w:r w:rsidRPr="005D59EE">
        <w:rPr>
          <w:rFonts w:eastAsia="Times New Roman"/>
          <w:sz w:val="24"/>
          <w:szCs w:val="24"/>
          <w:lang w:val="fr-FR" w:eastAsia="fr-FR"/>
        </w:rPr>
        <w:t xml:space="preserve">La discipline parlementaire est régie par les dispositions du chapitre 9 du titre I du Règlement de la Chambre des Députés. Une modification de ce chapitre apparaît nécessaire pour prévoir de nouvelles sanctions disciplinaires </w:t>
      </w:r>
      <w:r w:rsidRPr="005D59EE">
        <w:rPr>
          <w:rFonts w:eastAsia="Times New Roman"/>
          <w:iCs/>
          <w:color w:val="212121"/>
          <w:sz w:val="24"/>
          <w:szCs w:val="24"/>
          <w:lang w:val="fr-CH" w:eastAsia="fr-FR"/>
        </w:rPr>
        <w:t xml:space="preserve">dans l’hypothèse d’une divulgation publique par un député d’informations ou de documents confidentiels que le gouvernement transmet à la Chambre. Cette modification est en lien direct avec le </w:t>
      </w:r>
      <w:r w:rsidRPr="005D59EE">
        <w:rPr>
          <w:rFonts w:eastAsia="Times New Roman"/>
          <w:sz w:val="24"/>
          <w:szCs w:val="24"/>
          <w:lang w:val="fr-FR" w:eastAsia="fr-FR"/>
        </w:rPr>
        <w:t xml:space="preserve">nouveau chapitre relatif au droit de requérir de la part du gouvernement des informations et documents. </w:t>
      </w:r>
    </w:p>
    <w:p w:rsidR="005D59EE" w:rsidRPr="005D59EE" w:rsidRDefault="005D59EE" w:rsidP="005D59EE">
      <w:pPr>
        <w:spacing w:after="0" w:line="240" w:lineRule="auto"/>
        <w:jc w:val="both"/>
        <w:rPr>
          <w:rFonts w:eastAsia="Times New Roman"/>
          <w:color w:val="000000"/>
          <w:sz w:val="24"/>
          <w:szCs w:val="24"/>
          <w:lang w:val="fr-FR" w:eastAsia="fr-FR"/>
        </w:rPr>
      </w:pPr>
    </w:p>
    <w:p w:rsidR="005D59EE" w:rsidRPr="005D59EE" w:rsidRDefault="005D59EE" w:rsidP="005D59EE">
      <w:pPr>
        <w:spacing w:after="0" w:line="240" w:lineRule="auto"/>
        <w:jc w:val="both"/>
        <w:rPr>
          <w:rFonts w:eastAsia="Times New Roman"/>
          <w:color w:val="000000"/>
          <w:sz w:val="24"/>
          <w:szCs w:val="24"/>
          <w:lang w:val="fr-FR" w:eastAsia="fr-FR"/>
        </w:rPr>
      </w:pPr>
      <w:bookmarkStart w:id="1" w:name="_Toc102661177"/>
      <w:bookmarkStart w:id="2" w:name="_Toc103124135"/>
      <w:bookmarkStart w:id="3" w:name="_Toc103127631"/>
      <w:bookmarkStart w:id="4" w:name="_Toc103163296"/>
      <w:bookmarkStart w:id="5" w:name="_Toc103224726"/>
      <w:bookmarkStart w:id="6" w:name="_Toc103224798"/>
      <w:bookmarkStart w:id="7" w:name="_Toc104209056"/>
      <w:bookmarkStart w:id="8" w:name="_Toc104209778"/>
      <w:bookmarkStart w:id="9" w:name="_Toc104209951"/>
      <w:bookmarkStart w:id="10" w:name="_Toc105713526"/>
      <w:bookmarkEnd w:id="1"/>
      <w:bookmarkEnd w:id="2"/>
      <w:bookmarkEnd w:id="3"/>
      <w:bookmarkEnd w:id="4"/>
      <w:bookmarkEnd w:id="5"/>
      <w:bookmarkEnd w:id="6"/>
      <w:bookmarkEnd w:id="7"/>
      <w:bookmarkEnd w:id="8"/>
      <w:bookmarkEnd w:id="9"/>
      <w:bookmarkEnd w:id="10"/>
      <w:r w:rsidRPr="005D59EE">
        <w:rPr>
          <w:rFonts w:eastAsia="Times New Roman"/>
          <w:color w:val="000000"/>
          <w:sz w:val="24"/>
          <w:szCs w:val="24"/>
          <w:lang w:val="fr-FR" w:eastAsia="fr-FR"/>
        </w:rPr>
        <w:t xml:space="preserve">Une telle modification est </w:t>
      </w:r>
      <w:r w:rsidRPr="005D59EE">
        <w:rPr>
          <w:rFonts w:eastAsia="Times New Roman"/>
          <w:sz w:val="24"/>
          <w:szCs w:val="24"/>
          <w:lang w:val="fr-FR" w:eastAsia="fr-FR"/>
        </w:rPr>
        <w:t xml:space="preserve">l’occasion de revoir plus largement le contenu de ce chapitre consacré à la discipline parlementaire, qui mérite d’être réécrit afin de rendre effectives et faciles d’application les dispositions du Règlement relatives à la discipline parlementaire. </w:t>
      </w:r>
      <w:r w:rsidRPr="005D59EE">
        <w:rPr>
          <w:rFonts w:eastAsia="Times New Roman"/>
          <w:color w:val="000000"/>
          <w:sz w:val="24"/>
          <w:szCs w:val="24"/>
          <w:lang w:val="fr-FR" w:eastAsia="fr-FR"/>
        </w:rPr>
        <w:t xml:space="preserve">Il est ainsi prévu de restructurer le chapitre 9 et de refondre certaines dispositions en tenant compte </w:t>
      </w:r>
      <w:r w:rsidRPr="005D59EE">
        <w:rPr>
          <w:rFonts w:eastAsia="Times New Roman"/>
          <w:sz w:val="24"/>
          <w:szCs w:val="24"/>
          <w:lang w:val="fr-FR" w:eastAsia="fr-FR"/>
        </w:rPr>
        <w:t>des imprécisions et manques relevés dans le Règlement de la Chambre ainsi que de la jurisprudence de la Cour européenne des droits de l’homme, tout en s’inspirant de certaines règles éprouvées à l’étranger</w:t>
      </w:r>
      <w:r w:rsidRPr="005D59EE">
        <w:rPr>
          <w:rFonts w:eastAsia="Times New Roman"/>
          <w:color w:val="000000"/>
          <w:sz w:val="24"/>
          <w:szCs w:val="24"/>
          <w:lang w:val="fr-FR" w:eastAsia="fr-FR"/>
        </w:rPr>
        <w:t>.</w:t>
      </w:r>
    </w:p>
    <w:p w:rsidR="005D59EE" w:rsidRPr="005D59EE" w:rsidRDefault="005D59EE" w:rsidP="005D59EE">
      <w:pPr>
        <w:spacing w:after="0" w:line="240" w:lineRule="auto"/>
        <w:ind w:left="720"/>
        <w:contextualSpacing/>
        <w:rPr>
          <w:rFonts w:eastAsia="Times New Roman"/>
          <w:color w:val="000000"/>
          <w:sz w:val="24"/>
          <w:szCs w:val="24"/>
          <w:highlight w:val="yellow"/>
          <w:lang w:val="fr-FR" w:eastAsia="fr-FR"/>
        </w:rPr>
      </w:pPr>
    </w:p>
    <w:p w:rsidR="005D59EE" w:rsidRPr="005D59EE" w:rsidRDefault="005D59EE" w:rsidP="005D59EE">
      <w:pPr>
        <w:spacing w:after="0" w:line="240" w:lineRule="auto"/>
        <w:jc w:val="both"/>
        <w:rPr>
          <w:rFonts w:eastAsia="Times New Roman"/>
          <w:sz w:val="24"/>
          <w:szCs w:val="24"/>
          <w:lang w:val="fr-FR" w:eastAsia="fr-FR"/>
        </w:rPr>
      </w:pPr>
      <w:r w:rsidRPr="005D59EE">
        <w:rPr>
          <w:rFonts w:eastAsia="Times New Roman"/>
          <w:color w:val="000000"/>
          <w:sz w:val="24"/>
          <w:szCs w:val="24"/>
          <w:lang w:val="fr-FR" w:eastAsia="fr-FR"/>
        </w:rPr>
        <w:t>La nouvelle mouture proposée du chapitre 9 est organisée en trois subdivisions : la première</w:t>
      </w:r>
      <w:r w:rsidRPr="005D59EE">
        <w:rPr>
          <w:rFonts w:eastAsia="Times New Roman"/>
          <w:i/>
          <w:iCs/>
          <w:sz w:val="24"/>
          <w:szCs w:val="24"/>
          <w:lang w:val="fr-FR" w:eastAsia="fr-FR"/>
        </w:rPr>
        <w:t xml:space="preserve"> </w:t>
      </w:r>
      <w:r w:rsidRPr="005D59EE">
        <w:rPr>
          <w:rFonts w:eastAsia="Times New Roman"/>
          <w:iCs/>
          <w:sz w:val="24"/>
          <w:szCs w:val="24"/>
          <w:lang w:val="fr-FR" w:eastAsia="fr-FR"/>
        </w:rPr>
        <w:t xml:space="preserve">porte sur </w:t>
      </w:r>
      <w:r w:rsidRPr="005D59EE">
        <w:rPr>
          <w:rFonts w:eastAsia="Times New Roman"/>
          <w:sz w:val="24"/>
          <w:szCs w:val="24"/>
          <w:lang w:val="fr-FR" w:eastAsia="fr-FR"/>
        </w:rPr>
        <w:t xml:space="preserve">les mesures disciplinaires susceptibles d’être prises </w:t>
      </w:r>
      <w:r w:rsidRPr="005D59EE">
        <w:rPr>
          <w:rFonts w:eastAsia="Times New Roman"/>
          <w:iCs/>
          <w:sz w:val="24"/>
          <w:szCs w:val="24"/>
          <w:lang w:val="fr-FR" w:eastAsia="fr-FR"/>
        </w:rPr>
        <w:t>immédiatement</w:t>
      </w:r>
      <w:r w:rsidRPr="005D59EE">
        <w:rPr>
          <w:rFonts w:eastAsia="Times New Roman"/>
          <w:sz w:val="24"/>
          <w:szCs w:val="24"/>
          <w:lang w:val="fr-FR" w:eastAsia="fr-FR"/>
        </w:rPr>
        <w:t xml:space="preserve"> en séance ou lors de la réunion d’un organe, d’une commission ou d’une délégation ; la seconde </w:t>
      </w:r>
      <w:r w:rsidRPr="005D59EE">
        <w:rPr>
          <w:rFonts w:eastAsia="Times New Roman"/>
          <w:color w:val="000000"/>
          <w:sz w:val="24"/>
          <w:szCs w:val="24"/>
          <w:lang w:val="fr-FR" w:eastAsia="fr-FR"/>
        </w:rPr>
        <w:t xml:space="preserve">porte sur </w:t>
      </w:r>
      <w:r w:rsidRPr="005D59EE">
        <w:rPr>
          <w:rFonts w:eastAsia="Times New Roman"/>
          <w:sz w:val="24"/>
          <w:szCs w:val="24"/>
          <w:lang w:val="fr-FR" w:eastAsia="fr-FR"/>
        </w:rPr>
        <w:t xml:space="preserve">les sanctions, qui sont </w:t>
      </w:r>
      <w:r w:rsidRPr="005D59EE">
        <w:rPr>
          <w:rFonts w:eastAsia="Times New Roman"/>
          <w:iCs/>
          <w:sz w:val="24"/>
          <w:szCs w:val="24"/>
          <w:lang w:val="fr-FR" w:eastAsia="fr-FR"/>
        </w:rPr>
        <w:t>plus lourdes</w:t>
      </w:r>
      <w:r w:rsidRPr="005D59EE">
        <w:rPr>
          <w:rFonts w:eastAsia="Times New Roman"/>
          <w:sz w:val="24"/>
          <w:szCs w:val="24"/>
          <w:lang w:val="fr-FR" w:eastAsia="fr-FR"/>
        </w:rPr>
        <w:t xml:space="preserve"> que les mesures immédiates et sont prononcées </w:t>
      </w:r>
      <w:r w:rsidRPr="005D59EE">
        <w:rPr>
          <w:rFonts w:eastAsia="Times New Roman"/>
          <w:i/>
          <w:sz w:val="24"/>
          <w:szCs w:val="24"/>
          <w:lang w:val="fr-FR" w:eastAsia="fr-FR"/>
        </w:rPr>
        <w:t>a posteriori</w:t>
      </w:r>
      <w:r w:rsidRPr="005D59EE">
        <w:rPr>
          <w:rFonts w:eastAsia="Times New Roman"/>
          <w:sz w:val="24"/>
          <w:szCs w:val="24"/>
          <w:lang w:val="fr-FR" w:eastAsia="fr-FR"/>
        </w:rPr>
        <w:t xml:space="preserve"> par la Conférence des Présidents, dans le respect des garanties procédurales ; la troisième prévoit une voie de recours interne devant le Bureau pour le député à l’encontre duquel une sanction </w:t>
      </w:r>
      <w:r w:rsidRPr="005D59EE">
        <w:rPr>
          <w:rFonts w:eastAsia="Times New Roman"/>
          <w:i/>
          <w:sz w:val="24"/>
          <w:szCs w:val="24"/>
          <w:lang w:val="fr-FR" w:eastAsia="fr-FR"/>
        </w:rPr>
        <w:t>a posteriori</w:t>
      </w:r>
      <w:r w:rsidRPr="005D59EE">
        <w:rPr>
          <w:rFonts w:eastAsia="Times New Roman"/>
          <w:sz w:val="24"/>
          <w:szCs w:val="24"/>
          <w:lang w:val="fr-FR" w:eastAsia="fr-FR"/>
        </w:rPr>
        <w:t xml:space="preserve"> a été prononcée.</w:t>
      </w:r>
    </w:p>
    <w:p w:rsidR="00C426E5" w:rsidRPr="005D59EE" w:rsidRDefault="00C426E5">
      <w:pPr>
        <w:rPr>
          <w:lang w:val="fr-FR"/>
        </w:rPr>
      </w:pPr>
    </w:p>
    <w:sectPr w:rsidR="00C426E5" w:rsidRPr="005D5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E6"/>
    <w:rsid w:val="000226E1"/>
    <w:rsid w:val="00557AE6"/>
    <w:rsid w:val="005D59EE"/>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6D5B43-684A-4AB0-89C4-DEA96E90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/sftpecos/Dossiers_parlementaires/8245/</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D3EB6243-ABEB-4C55-B21D-1B975C68587C}"/>
</file>

<file path=customXml/itemProps2.xml><?xml version="1.0" encoding="utf-8"?>
<ds:datastoreItem xmlns:ds="http://schemas.openxmlformats.org/officeDocument/2006/customXml" ds:itemID="{79B1FC03-8D0A-4172-9B99-5611A07B38A2}"/>
</file>

<file path=customXml/itemProps3.xml><?xml version="1.0" encoding="utf-8"?>
<ds:datastoreItem xmlns:ds="http://schemas.openxmlformats.org/officeDocument/2006/customXml" ds:itemID="{EF6B08BC-2D7B-4071-BF11-8CD2BD858FEC}"/>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