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4FA23" w14:textId="77777777" w:rsidR="002E757B" w:rsidRPr="005F48A2" w:rsidRDefault="002E757B" w:rsidP="002E757B">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238</w:t>
      </w:r>
    </w:p>
    <w:p w14:paraId="4EDCE36F" w14:textId="77777777" w:rsidR="002E757B" w:rsidRPr="002C1F61" w:rsidRDefault="002E757B" w:rsidP="002E757B">
      <w:pPr>
        <w:spacing w:after="0" w:line="240" w:lineRule="auto"/>
        <w:jc w:val="center"/>
        <w:rPr>
          <w:rFonts w:ascii="Arial" w:eastAsia="Times New Roman" w:hAnsi="Arial" w:cs="Arial"/>
          <w:lang w:eastAsia="fr-FR"/>
        </w:rPr>
      </w:pPr>
    </w:p>
    <w:p w14:paraId="0B0E078C" w14:textId="77777777" w:rsidR="002E757B" w:rsidRDefault="002E757B" w:rsidP="002E757B">
      <w:pPr>
        <w:spacing w:after="0" w:line="240" w:lineRule="auto"/>
        <w:jc w:val="center"/>
      </w:pPr>
      <w:r>
        <w:rPr>
          <w:rFonts w:ascii="Arial" w:eastAsia="Times New Roman" w:hAnsi="Arial" w:cs="Arial"/>
          <w:bCs/>
          <w:lang w:eastAsia="fr-FR"/>
        </w:rPr>
        <w:t>CHAMBRE DES DEPUTES</w:t>
      </w:r>
    </w:p>
    <w:p w14:paraId="344440C1" w14:textId="77777777" w:rsidR="002E757B" w:rsidRDefault="002E757B" w:rsidP="002E757B">
      <w:pPr>
        <w:spacing w:after="0" w:line="240" w:lineRule="auto"/>
        <w:jc w:val="center"/>
        <w:rPr>
          <w:rFonts w:ascii="Arial" w:eastAsia="Times New Roman" w:hAnsi="Arial" w:cs="Arial"/>
          <w:bCs/>
          <w:lang w:eastAsia="fr-FR"/>
        </w:rPr>
      </w:pPr>
    </w:p>
    <w:p w14:paraId="3974FD1D" w14:textId="77777777" w:rsidR="002E757B" w:rsidRDefault="002E757B" w:rsidP="002E757B">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581F0292" w14:textId="77777777" w:rsidR="002E757B" w:rsidRPr="0073146E" w:rsidRDefault="002E757B" w:rsidP="002E757B">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38B28E5B" w14:textId="77777777" w:rsidR="002E757B" w:rsidRPr="00083219" w:rsidRDefault="002E757B" w:rsidP="002E757B">
      <w:pPr>
        <w:spacing w:after="0" w:line="240" w:lineRule="auto"/>
        <w:jc w:val="both"/>
        <w:rPr>
          <w:rFonts w:ascii="Arial" w:eastAsia="Times New Roman" w:hAnsi="Arial" w:cs="Arial"/>
          <w:lang w:eastAsia="fr-FR"/>
        </w:rPr>
      </w:pPr>
    </w:p>
    <w:p w14:paraId="350C0171" w14:textId="77777777" w:rsidR="002E757B" w:rsidRPr="00083219" w:rsidRDefault="002E757B" w:rsidP="002E757B">
      <w:pPr>
        <w:spacing w:after="0" w:line="240" w:lineRule="auto"/>
        <w:ind w:right="-108"/>
        <w:jc w:val="center"/>
        <w:rPr>
          <w:rFonts w:ascii="Arial" w:eastAsia="Times New Roman" w:hAnsi="Arial" w:cs="Arial"/>
          <w:lang w:eastAsia="fr-FR"/>
        </w:rPr>
      </w:pPr>
    </w:p>
    <w:p w14:paraId="28A0115C" w14:textId="77777777" w:rsidR="002E757B" w:rsidRDefault="002E757B" w:rsidP="002E757B">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1FC6D0F0" w14:textId="77777777" w:rsidR="002E757B" w:rsidRPr="00811F8A" w:rsidRDefault="002E757B" w:rsidP="002E757B">
      <w:pPr>
        <w:spacing w:after="0" w:line="240" w:lineRule="auto"/>
        <w:jc w:val="center"/>
        <w:rPr>
          <w:rFonts w:ascii="Arial" w:eastAsia="Times New Roman" w:hAnsi="Arial" w:cs="Arial"/>
          <w:color w:val="000000"/>
          <w:lang w:eastAsia="fr-FR"/>
        </w:rPr>
      </w:pPr>
    </w:p>
    <w:p w14:paraId="294A4AD9" w14:textId="77777777" w:rsidR="002E757B" w:rsidRDefault="002E757B" w:rsidP="002E757B">
      <w:pPr>
        <w:spacing w:after="0" w:line="240" w:lineRule="auto"/>
        <w:jc w:val="center"/>
        <w:rPr>
          <w:rFonts w:ascii="Arial" w:hAnsi="Arial" w:cs="Arial"/>
          <w:b/>
          <w:bCs/>
          <w:lang w:val="fr-FR"/>
        </w:rPr>
      </w:pPr>
      <w:proofErr w:type="gramStart"/>
      <w:r w:rsidRPr="004F0098">
        <w:rPr>
          <w:rFonts w:ascii="Arial" w:hAnsi="Arial" w:cs="Arial"/>
          <w:b/>
          <w:bCs/>
          <w:lang w:val="fr-FR"/>
        </w:rPr>
        <w:t>portant</w:t>
      </w:r>
      <w:proofErr w:type="gramEnd"/>
      <w:r w:rsidRPr="004F0098">
        <w:rPr>
          <w:rFonts w:ascii="Arial" w:hAnsi="Arial" w:cs="Arial"/>
          <w:b/>
          <w:bCs/>
          <w:lang w:val="fr-FR"/>
        </w:rPr>
        <w:t xml:space="preserve"> approbation de </w:t>
      </w:r>
      <w:r w:rsidRPr="00D16FD3">
        <w:rPr>
          <w:rFonts w:ascii="Arial" w:hAnsi="Arial" w:cs="Arial"/>
          <w:b/>
          <w:bCs/>
          <w:lang w:val="fr-FR"/>
        </w:rPr>
        <w:t>l’Accord de transport aérien entre le Gouvernement du Grand-Duché de Luxembourg et le Gouvernement de la République algérienne démocratique et populaire, fait à Alger, le 24 août 2022</w:t>
      </w:r>
    </w:p>
    <w:p w14:paraId="2226417F" w14:textId="77777777" w:rsidR="002E757B" w:rsidRPr="0024360D" w:rsidRDefault="002E757B" w:rsidP="002E757B">
      <w:pPr>
        <w:spacing w:after="0" w:line="240" w:lineRule="auto"/>
        <w:jc w:val="center"/>
        <w:rPr>
          <w:rFonts w:ascii="Arial" w:eastAsia="Times New Roman" w:hAnsi="Arial" w:cs="Arial"/>
          <w:b/>
          <w:bCs/>
          <w:color w:val="FF0000"/>
          <w:lang w:val="fr-FR" w:eastAsia="fr-FR"/>
        </w:rPr>
      </w:pPr>
    </w:p>
    <w:p w14:paraId="30AB76BC" w14:textId="77777777" w:rsidR="002E757B" w:rsidRPr="003705D9" w:rsidRDefault="002E757B" w:rsidP="002E757B">
      <w:pPr>
        <w:spacing w:after="0" w:line="240" w:lineRule="auto"/>
        <w:jc w:val="center"/>
        <w:rPr>
          <w:rFonts w:ascii="Arial" w:eastAsia="Times New Roman" w:hAnsi="Arial" w:cs="Arial"/>
          <w:b/>
          <w:bCs/>
          <w:lang w:val="fr-FR" w:eastAsia="fr-FR"/>
        </w:rPr>
      </w:pPr>
    </w:p>
    <w:p w14:paraId="657E5130" w14:textId="2F136C2C" w:rsidR="002E757B" w:rsidRPr="00B00E82" w:rsidRDefault="002E757B" w:rsidP="002E757B">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39FD902E" w14:textId="77777777" w:rsidR="002E757B" w:rsidRPr="00B00E82" w:rsidRDefault="002E757B" w:rsidP="002E757B">
      <w:pPr>
        <w:spacing w:after="0" w:line="240" w:lineRule="auto"/>
        <w:jc w:val="center"/>
        <w:rPr>
          <w:rFonts w:ascii="Arial" w:eastAsia="Times New Roman" w:hAnsi="Arial" w:cs="Arial"/>
          <w:lang w:eastAsia="fr-FR"/>
        </w:rPr>
      </w:pPr>
    </w:p>
    <w:p w14:paraId="552A39A2" w14:textId="77777777" w:rsidR="002E757B" w:rsidRDefault="002E757B" w:rsidP="002E757B">
      <w:pPr>
        <w:suppressAutoHyphens w:val="0"/>
        <w:spacing w:after="0" w:line="240" w:lineRule="auto"/>
        <w:jc w:val="both"/>
        <w:rPr>
          <w:rFonts w:ascii="Arial" w:hAnsi="Arial" w:cs="Arial"/>
        </w:rPr>
      </w:pPr>
      <w:r w:rsidRPr="004F0098">
        <w:rPr>
          <w:rFonts w:ascii="Arial" w:hAnsi="Arial" w:cs="Arial"/>
        </w:rPr>
        <w:t>Le projet de loi sous rubrique porte sur l’approbation de l</w:t>
      </w:r>
      <w:r>
        <w:rPr>
          <w:rFonts w:ascii="Arial" w:hAnsi="Arial" w:cs="Arial"/>
        </w:rPr>
        <w:t>’</w:t>
      </w:r>
      <w:r w:rsidRPr="004F0098">
        <w:rPr>
          <w:rFonts w:ascii="Arial" w:hAnsi="Arial" w:cs="Arial"/>
        </w:rPr>
        <w:t>Accord de transport aérien entre le Gouvernement du Grand-Duché de Luxembourg et le Gouvernement de la République algérienne démocratique et populaire, fait à Alger, le 24 août 2022.</w:t>
      </w:r>
    </w:p>
    <w:p w14:paraId="777833DB" w14:textId="77777777" w:rsidR="002E757B" w:rsidRDefault="002E757B" w:rsidP="002E757B">
      <w:pPr>
        <w:suppressAutoHyphens w:val="0"/>
        <w:spacing w:after="0" w:line="240" w:lineRule="auto"/>
        <w:jc w:val="both"/>
        <w:rPr>
          <w:rFonts w:ascii="Arial" w:hAnsi="Arial" w:cs="Arial"/>
          <w:b/>
          <w:bCs/>
          <w:lang w:val="fr-FR"/>
        </w:rPr>
      </w:pPr>
    </w:p>
    <w:p w14:paraId="1335F6FD" w14:textId="596A473A" w:rsidR="002E757B" w:rsidRPr="00D16FD3" w:rsidRDefault="002E757B" w:rsidP="002E757B">
      <w:pPr>
        <w:suppressAutoHyphens w:val="0"/>
        <w:spacing w:after="0" w:line="240" w:lineRule="auto"/>
        <w:jc w:val="both"/>
        <w:rPr>
          <w:rFonts w:ascii="Arial" w:eastAsia="Aptos" w:hAnsi="Arial" w:cs="Arial"/>
          <w:lang w:val="fr-CH" w:eastAsia="en-US"/>
        </w:rPr>
      </w:pPr>
      <w:r w:rsidRPr="002E757B">
        <w:rPr>
          <w:rFonts w:ascii="Arial" w:hAnsi="Arial" w:cs="Arial"/>
          <w:lang w:val="fr-FR"/>
        </w:rPr>
        <w:t>C</w:t>
      </w:r>
      <w:r w:rsidRPr="00D16FD3">
        <w:rPr>
          <w:rFonts w:ascii="Arial" w:eastAsia="Aptos" w:hAnsi="Arial" w:cs="Arial"/>
          <w:lang w:val="fr-CH" w:eastAsia="en-US"/>
        </w:rPr>
        <w:t>et accord permettra de soutenir les compagnies aériennes nationales à travers l’octroi d’un maximum de droits de trafic. De plus, il renforcera le rôle de l’aéroport de Luxembourg en tant que plateforme internationale pour le transport de marchandises et de passagers.</w:t>
      </w:r>
    </w:p>
    <w:p w14:paraId="18510A26" w14:textId="77777777" w:rsidR="002E757B" w:rsidRPr="00D16FD3" w:rsidRDefault="002E757B" w:rsidP="002E757B">
      <w:pPr>
        <w:suppressAutoHyphens w:val="0"/>
        <w:spacing w:after="0" w:line="240" w:lineRule="auto"/>
        <w:jc w:val="both"/>
        <w:rPr>
          <w:rFonts w:ascii="Arial" w:eastAsia="Aptos" w:hAnsi="Arial" w:cs="Arial"/>
          <w:lang w:val="fr-CH" w:eastAsia="en-US"/>
        </w:rPr>
      </w:pPr>
    </w:p>
    <w:p w14:paraId="1401437E" w14:textId="77777777" w:rsidR="002E757B" w:rsidRPr="00D16FD3" w:rsidRDefault="002E757B" w:rsidP="002E757B">
      <w:pPr>
        <w:suppressAutoHyphens w:val="0"/>
        <w:spacing w:after="0" w:line="240" w:lineRule="auto"/>
        <w:jc w:val="both"/>
        <w:rPr>
          <w:rFonts w:ascii="Arial" w:eastAsia="Aptos" w:hAnsi="Arial" w:cs="Arial"/>
          <w:lang w:val="fr-CH" w:eastAsia="en-US"/>
        </w:rPr>
      </w:pPr>
    </w:p>
    <w:p w14:paraId="0F86EE0D" w14:textId="77777777" w:rsidR="002E757B" w:rsidRPr="00D16FD3" w:rsidRDefault="002E757B" w:rsidP="002E757B">
      <w:pPr>
        <w:suppressAutoHyphens w:val="0"/>
        <w:spacing w:after="0" w:line="240" w:lineRule="auto"/>
        <w:jc w:val="both"/>
        <w:rPr>
          <w:rFonts w:ascii="Arial" w:eastAsia="Aptos" w:hAnsi="Arial" w:cs="Arial"/>
          <w:lang w:val="fr-CH" w:eastAsia="en-US"/>
        </w:rPr>
      </w:pPr>
      <w:r w:rsidRPr="00D16FD3">
        <w:rPr>
          <w:rFonts w:ascii="Arial" w:eastAsia="Aptos" w:hAnsi="Arial" w:cs="Arial"/>
          <w:lang w:val="fr-CH" w:eastAsia="en-US"/>
        </w:rPr>
        <w:t>Les principaux éléments de l’accord incluent :</w:t>
      </w:r>
    </w:p>
    <w:p w14:paraId="466721D1" w14:textId="77777777" w:rsidR="002E757B" w:rsidRPr="00D16FD3" w:rsidRDefault="002E757B" w:rsidP="002E757B">
      <w:pPr>
        <w:suppressAutoHyphens w:val="0"/>
        <w:spacing w:after="0" w:line="240" w:lineRule="auto"/>
        <w:jc w:val="both"/>
        <w:rPr>
          <w:rFonts w:ascii="Arial" w:eastAsia="Aptos" w:hAnsi="Arial" w:cs="Arial"/>
          <w:lang w:val="fr-CH" w:eastAsia="en-US"/>
        </w:rPr>
      </w:pPr>
    </w:p>
    <w:p w14:paraId="7D89387F"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es</w:t>
      </w:r>
      <w:proofErr w:type="gramEnd"/>
      <w:r w:rsidRPr="00D16FD3">
        <w:rPr>
          <w:rFonts w:ascii="Arial" w:eastAsia="Aptos" w:hAnsi="Arial" w:cs="Arial"/>
          <w:lang w:val="fr-CH" w:eastAsia="en-US"/>
        </w:rPr>
        <w:t xml:space="preserve"> définitions terminologiques de la Convention de Chicago de 1944</w:t>
      </w:r>
      <w:r>
        <w:rPr>
          <w:rFonts w:ascii="Arial" w:eastAsia="Aptos" w:hAnsi="Arial" w:cs="Arial"/>
          <w:lang w:val="fr-CH" w:eastAsia="en-US"/>
        </w:rPr>
        <w:t> ;</w:t>
      </w:r>
    </w:p>
    <w:p w14:paraId="14495DB8"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es</w:t>
      </w:r>
      <w:proofErr w:type="gramEnd"/>
      <w:r w:rsidRPr="00D16FD3">
        <w:rPr>
          <w:rFonts w:ascii="Arial" w:eastAsia="Aptos" w:hAnsi="Arial" w:cs="Arial"/>
          <w:lang w:val="fr-CH" w:eastAsia="en-US"/>
        </w:rPr>
        <w:t xml:space="preserve"> droits d’exploitation des services, comme le survol, l’escale technique</w:t>
      </w:r>
      <w:r>
        <w:rPr>
          <w:rFonts w:ascii="Arial" w:eastAsia="Aptos" w:hAnsi="Arial" w:cs="Arial"/>
          <w:lang w:val="fr-CH" w:eastAsia="en-US"/>
        </w:rPr>
        <w:t>,</w:t>
      </w:r>
      <w:r w:rsidRPr="00D16FD3">
        <w:rPr>
          <w:rFonts w:ascii="Arial" w:eastAsia="Aptos" w:hAnsi="Arial" w:cs="Arial"/>
          <w:lang w:val="fr-CH" w:eastAsia="en-US"/>
        </w:rPr>
        <w:t xml:space="preserve"> </w:t>
      </w:r>
      <w:r>
        <w:rPr>
          <w:rFonts w:ascii="Arial" w:eastAsia="Aptos" w:hAnsi="Arial" w:cs="Arial"/>
          <w:lang w:val="fr-CH" w:eastAsia="en-US"/>
        </w:rPr>
        <w:t>l’escale</w:t>
      </w:r>
      <w:r w:rsidRPr="00D16FD3">
        <w:rPr>
          <w:rFonts w:ascii="Arial" w:eastAsia="Aptos" w:hAnsi="Arial" w:cs="Arial"/>
          <w:lang w:val="fr-CH" w:eastAsia="en-US"/>
        </w:rPr>
        <w:t xml:space="preserve"> commerciale et les libertés de l’air</w:t>
      </w:r>
      <w:r>
        <w:rPr>
          <w:rFonts w:ascii="Arial" w:eastAsia="Aptos" w:hAnsi="Arial" w:cs="Arial"/>
          <w:lang w:val="fr-CH" w:eastAsia="en-US"/>
        </w:rPr>
        <w:t> ;</w:t>
      </w:r>
    </w:p>
    <w:p w14:paraId="5D9D1FCD"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a</w:t>
      </w:r>
      <w:proofErr w:type="gramEnd"/>
      <w:r w:rsidRPr="00D16FD3">
        <w:rPr>
          <w:rFonts w:ascii="Arial" w:eastAsia="Aptos" w:hAnsi="Arial" w:cs="Arial"/>
          <w:lang w:val="fr-CH" w:eastAsia="en-US"/>
        </w:rPr>
        <w:t xml:space="preserve"> clause dite de désignation européenne, garantissant l’accès non discriminatoire au marché pour les transporteurs aériens au sein de l’UE</w:t>
      </w:r>
      <w:r>
        <w:rPr>
          <w:rFonts w:ascii="Arial" w:eastAsia="Aptos" w:hAnsi="Arial" w:cs="Arial"/>
          <w:lang w:val="fr-CH" w:eastAsia="en-US"/>
        </w:rPr>
        <w:t> ;</w:t>
      </w:r>
    </w:p>
    <w:p w14:paraId="6FD9F202"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a</w:t>
      </w:r>
      <w:proofErr w:type="gramEnd"/>
      <w:r w:rsidRPr="00D16FD3">
        <w:rPr>
          <w:rFonts w:ascii="Arial" w:eastAsia="Aptos" w:hAnsi="Arial" w:cs="Arial"/>
          <w:lang w:val="fr-CH" w:eastAsia="en-US"/>
        </w:rPr>
        <w:t xml:space="preserve"> possibilité de limiter ou retirer une autorisation si le transporteur ne respecte pas les termes de l’accord</w:t>
      </w:r>
      <w:r>
        <w:rPr>
          <w:rFonts w:ascii="Arial" w:eastAsia="Aptos" w:hAnsi="Arial" w:cs="Arial"/>
          <w:lang w:val="fr-CH" w:eastAsia="en-US"/>
        </w:rPr>
        <w:t> ;</w:t>
      </w:r>
    </w:p>
    <w:p w14:paraId="17261E35"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’exonération</w:t>
      </w:r>
      <w:proofErr w:type="gramEnd"/>
      <w:r w:rsidRPr="00D16FD3">
        <w:rPr>
          <w:rFonts w:ascii="Arial" w:eastAsia="Aptos" w:hAnsi="Arial" w:cs="Arial"/>
          <w:lang w:val="fr-CH" w:eastAsia="en-US"/>
        </w:rPr>
        <w:t>, sous conditions, de certains droits de douane et taxes</w:t>
      </w:r>
      <w:r>
        <w:rPr>
          <w:rFonts w:ascii="Arial" w:eastAsia="Aptos" w:hAnsi="Arial" w:cs="Arial"/>
          <w:lang w:val="fr-CH" w:eastAsia="en-US"/>
        </w:rPr>
        <w:t> ;</w:t>
      </w:r>
    </w:p>
    <w:p w14:paraId="2C6184E3"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es</w:t>
      </w:r>
      <w:proofErr w:type="gramEnd"/>
      <w:r w:rsidRPr="00D16FD3">
        <w:rPr>
          <w:rFonts w:ascii="Arial" w:eastAsia="Aptos" w:hAnsi="Arial" w:cs="Arial"/>
          <w:lang w:val="fr-CH" w:eastAsia="en-US"/>
        </w:rPr>
        <w:t xml:space="preserve"> principes déterminant la capacité mise en œuvre et son adaptation à la demande de trafic</w:t>
      </w:r>
      <w:r>
        <w:rPr>
          <w:rFonts w:ascii="Arial" w:eastAsia="Aptos" w:hAnsi="Arial" w:cs="Arial"/>
          <w:lang w:val="fr-CH" w:eastAsia="en-US"/>
        </w:rPr>
        <w:t> ;</w:t>
      </w:r>
    </w:p>
    <w:p w14:paraId="3433C3B2"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a</w:t>
      </w:r>
      <w:proofErr w:type="gramEnd"/>
      <w:r w:rsidRPr="00D16FD3">
        <w:rPr>
          <w:rFonts w:ascii="Arial" w:eastAsia="Aptos" w:hAnsi="Arial" w:cs="Arial"/>
          <w:lang w:val="fr-CH" w:eastAsia="en-US"/>
        </w:rPr>
        <w:t xml:space="preserve"> procédure d’établissement des tarifs et l’application des lois et règlements internes</w:t>
      </w:r>
      <w:r>
        <w:rPr>
          <w:rFonts w:ascii="Arial" w:eastAsia="Aptos" w:hAnsi="Arial" w:cs="Arial"/>
          <w:lang w:val="fr-CH" w:eastAsia="en-US"/>
        </w:rPr>
        <w:t> ;</w:t>
      </w:r>
    </w:p>
    <w:p w14:paraId="40E7453A"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’engagement</w:t>
      </w:r>
      <w:proofErr w:type="gramEnd"/>
      <w:r w:rsidRPr="00D16FD3">
        <w:rPr>
          <w:rFonts w:ascii="Arial" w:eastAsia="Aptos" w:hAnsi="Arial" w:cs="Arial"/>
          <w:lang w:val="fr-CH" w:eastAsia="en-US"/>
        </w:rPr>
        <w:t xml:space="preserve"> à respecter les conventions internationales en matière de sûreté de l’aviation civile</w:t>
      </w:r>
      <w:r>
        <w:rPr>
          <w:rFonts w:ascii="Arial" w:eastAsia="Aptos" w:hAnsi="Arial" w:cs="Arial"/>
          <w:lang w:val="fr-CH" w:eastAsia="en-US"/>
        </w:rPr>
        <w:t> ;</w:t>
      </w:r>
    </w:p>
    <w:p w14:paraId="03579971"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e</w:t>
      </w:r>
      <w:proofErr w:type="gramEnd"/>
      <w:r w:rsidRPr="00D16FD3">
        <w:rPr>
          <w:rFonts w:ascii="Arial" w:eastAsia="Aptos" w:hAnsi="Arial" w:cs="Arial"/>
          <w:lang w:val="fr-CH" w:eastAsia="en-US"/>
        </w:rPr>
        <w:t xml:space="preserve"> transfert des excédents de recettes réalisés sur le territoire de l’autre partie</w:t>
      </w:r>
      <w:r>
        <w:rPr>
          <w:rFonts w:ascii="Arial" w:eastAsia="Aptos" w:hAnsi="Arial" w:cs="Arial"/>
          <w:lang w:val="fr-CH" w:eastAsia="en-US"/>
        </w:rPr>
        <w:t> ;</w:t>
      </w:r>
    </w:p>
    <w:p w14:paraId="52A62F95"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a</w:t>
      </w:r>
      <w:proofErr w:type="gramEnd"/>
      <w:r w:rsidRPr="00D16FD3">
        <w:rPr>
          <w:rFonts w:ascii="Arial" w:eastAsia="Aptos" w:hAnsi="Arial" w:cs="Arial"/>
          <w:lang w:val="fr-CH" w:eastAsia="en-US"/>
        </w:rPr>
        <w:t xml:space="preserve"> consultation périodique entre autorités aéronautiques et la procédure de règlement des différends</w:t>
      </w:r>
      <w:r>
        <w:rPr>
          <w:rFonts w:ascii="Arial" w:eastAsia="Aptos" w:hAnsi="Arial" w:cs="Arial"/>
          <w:lang w:val="fr-CH" w:eastAsia="en-US"/>
        </w:rPr>
        <w:t> ;</w:t>
      </w:r>
    </w:p>
    <w:p w14:paraId="4C7C556C"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’adaptation</w:t>
      </w:r>
      <w:proofErr w:type="gramEnd"/>
      <w:r w:rsidRPr="00D16FD3">
        <w:rPr>
          <w:rFonts w:ascii="Arial" w:eastAsia="Aptos" w:hAnsi="Arial" w:cs="Arial"/>
          <w:lang w:val="fr-CH" w:eastAsia="en-US"/>
        </w:rPr>
        <w:t xml:space="preserve"> de l’accord à toute convention multilatérale future</w:t>
      </w:r>
      <w:r>
        <w:rPr>
          <w:rFonts w:ascii="Arial" w:eastAsia="Aptos" w:hAnsi="Arial" w:cs="Arial"/>
          <w:lang w:val="fr-CH" w:eastAsia="en-US"/>
        </w:rPr>
        <w:t> ;</w:t>
      </w:r>
    </w:p>
    <w:p w14:paraId="58E5F875" w14:textId="77777777" w:rsidR="002E757B" w:rsidRPr="00D16FD3" w:rsidRDefault="002E757B" w:rsidP="002E757B">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D16FD3">
        <w:rPr>
          <w:rFonts w:ascii="Arial" w:eastAsia="Aptos" w:hAnsi="Arial" w:cs="Arial"/>
          <w:lang w:val="fr-CH" w:eastAsia="en-US"/>
        </w:rPr>
        <w:t>’égalité</w:t>
      </w:r>
      <w:proofErr w:type="gramEnd"/>
      <w:r w:rsidRPr="00D16FD3">
        <w:rPr>
          <w:rFonts w:ascii="Arial" w:eastAsia="Aptos" w:hAnsi="Arial" w:cs="Arial"/>
          <w:lang w:val="fr-CH" w:eastAsia="en-US"/>
        </w:rPr>
        <w:t xml:space="preserve"> des chances pour les opérateurs aériens et la sauvegarde de leurs intérêts mutuels.</w:t>
      </w:r>
    </w:p>
    <w:p w14:paraId="097993BF" w14:textId="77777777" w:rsidR="002E757B" w:rsidRPr="00D16FD3" w:rsidRDefault="002E757B" w:rsidP="002E757B">
      <w:pPr>
        <w:suppressAutoHyphens w:val="0"/>
        <w:spacing w:after="0" w:line="240" w:lineRule="auto"/>
        <w:contextualSpacing/>
        <w:jc w:val="both"/>
        <w:rPr>
          <w:rFonts w:ascii="Arial" w:eastAsia="Aptos" w:hAnsi="Arial" w:cs="Arial"/>
          <w:lang w:val="fr-CH" w:eastAsia="en-US"/>
        </w:rPr>
      </w:pPr>
    </w:p>
    <w:p w14:paraId="3310DA9F" w14:textId="77777777" w:rsidR="002E757B" w:rsidRPr="002E757B" w:rsidRDefault="002E757B">
      <w:pPr>
        <w:rPr>
          <w:lang w:val="fr-CH"/>
        </w:rPr>
      </w:pPr>
    </w:p>
    <w:sectPr w:rsidR="002E757B" w:rsidRPr="002E7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66BDA"/>
    <w:multiLevelType w:val="hybridMultilevel"/>
    <w:tmpl w:val="C3DA24EA"/>
    <w:lvl w:ilvl="0" w:tplc="87AEA4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95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7B"/>
    <w:rsid w:val="0000039B"/>
    <w:rsid w:val="00046EB0"/>
    <w:rsid w:val="0010249C"/>
    <w:rsid w:val="002B4FD6"/>
    <w:rsid w:val="002E7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2BE8"/>
  <w15:chartTrackingRefBased/>
  <w15:docId w15:val="{7A7436B5-76F1-4D46-8BF7-7049A23D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7B"/>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2E7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7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757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757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757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75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75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75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75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57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757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757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757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757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75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75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75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757B"/>
    <w:rPr>
      <w:rFonts w:eastAsiaTheme="majorEastAsia" w:cstheme="majorBidi"/>
      <w:color w:val="272727" w:themeColor="text1" w:themeTint="D8"/>
    </w:rPr>
  </w:style>
  <w:style w:type="paragraph" w:styleId="Titre">
    <w:name w:val="Title"/>
    <w:basedOn w:val="Normal"/>
    <w:next w:val="Normal"/>
    <w:link w:val="TitreCar"/>
    <w:uiPriority w:val="10"/>
    <w:qFormat/>
    <w:rsid w:val="002E7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757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757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757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757B"/>
    <w:pPr>
      <w:spacing w:before="160"/>
      <w:jc w:val="center"/>
    </w:pPr>
    <w:rPr>
      <w:i/>
      <w:iCs/>
      <w:color w:val="404040" w:themeColor="text1" w:themeTint="BF"/>
    </w:rPr>
  </w:style>
  <w:style w:type="character" w:customStyle="1" w:styleId="CitationCar">
    <w:name w:val="Citation Car"/>
    <w:basedOn w:val="Policepardfaut"/>
    <w:link w:val="Citation"/>
    <w:uiPriority w:val="29"/>
    <w:rsid w:val="002E757B"/>
    <w:rPr>
      <w:i/>
      <w:iCs/>
      <w:color w:val="404040" w:themeColor="text1" w:themeTint="BF"/>
    </w:rPr>
  </w:style>
  <w:style w:type="paragraph" w:styleId="Paragraphedeliste">
    <w:name w:val="List Paragraph"/>
    <w:basedOn w:val="Normal"/>
    <w:uiPriority w:val="34"/>
    <w:qFormat/>
    <w:rsid w:val="002E757B"/>
    <w:pPr>
      <w:ind w:left="720"/>
      <w:contextualSpacing/>
    </w:pPr>
  </w:style>
  <w:style w:type="character" w:styleId="Accentuationintense">
    <w:name w:val="Intense Emphasis"/>
    <w:basedOn w:val="Policepardfaut"/>
    <w:uiPriority w:val="21"/>
    <w:qFormat/>
    <w:rsid w:val="002E757B"/>
    <w:rPr>
      <w:i/>
      <w:iCs/>
      <w:color w:val="0F4761" w:themeColor="accent1" w:themeShade="BF"/>
    </w:rPr>
  </w:style>
  <w:style w:type="paragraph" w:styleId="Citationintense">
    <w:name w:val="Intense Quote"/>
    <w:basedOn w:val="Normal"/>
    <w:next w:val="Normal"/>
    <w:link w:val="CitationintenseCar"/>
    <w:uiPriority w:val="30"/>
    <w:qFormat/>
    <w:rsid w:val="002E7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757B"/>
    <w:rPr>
      <w:i/>
      <w:iCs/>
      <w:color w:val="0F4761" w:themeColor="accent1" w:themeShade="BF"/>
    </w:rPr>
  </w:style>
  <w:style w:type="character" w:styleId="Rfrenceintense">
    <w:name w:val="Intense Reference"/>
    <w:basedOn w:val="Policepardfaut"/>
    <w:uiPriority w:val="32"/>
    <w:qFormat/>
    <w:rsid w:val="002E757B"/>
    <w:rPr>
      <w:b/>
      <w:bCs/>
      <w:smallCaps/>
      <w:color w:val="0F4761" w:themeColor="accent1" w:themeShade="BF"/>
      <w:spacing w:val="5"/>
    </w:rPr>
  </w:style>
  <w:style w:type="paragraph" w:customStyle="1" w:styleId="Sansinterligne1">
    <w:name w:val="Sans interligne1"/>
    <w:rsid w:val="002E757B"/>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A4EC1F0-183F-4686-BB12-CC64258E286B}"/>
</file>

<file path=customXml/itemProps2.xml><?xml version="1.0" encoding="utf-8"?>
<ds:datastoreItem xmlns:ds="http://schemas.openxmlformats.org/officeDocument/2006/customXml" ds:itemID="{5779346C-B969-4696-BCF5-661DE162D28B}"/>
</file>

<file path=customXml/itemProps3.xml><?xml version="1.0" encoding="utf-8"?>
<ds:datastoreItem xmlns:ds="http://schemas.openxmlformats.org/officeDocument/2006/customXml" ds:itemID="{561D4049-E377-4A15-B704-2E2FFAC19294}"/>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1686</Characters>
  <Application>Microsoft Office Word</Application>
  <DocSecurity>4</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2024-06-21T08:29:00Z</dcterms:created>
  <dcterms:modified xsi:type="dcterms:W3CDTF">2024-06-21T08:29:00Z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