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5A" w:rsidRPr="0085745A" w:rsidRDefault="0085745A" w:rsidP="0085745A">
      <w:pPr>
        <w:spacing w:after="0" w:line="240" w:lineRule="auto"/>
        <w:contextualSpacing/>
        <w:jc w:val="center"/>
        <w:rPr>
          <w:rFonts w:cs="Arial"/>
          <w:b/>
          <w:bCs/>
          <w:kern w:val="0"/>
          <w:szCs w:val="22"/>
        </w:rPr>
      </w:pPr>
      <w:bookmarkStart w:id="0" w:name="_GoBack"/>
      <w:bookmarkEnd w:id="0"/>
      <w:r w:rsidRPr="0085745A">
        <w:rPr>
          <w:rFonts w:cs="Arial"/>
          <w:b/>
          <w:bCs/>
          <w:kern w:val="0"/>
          <w:szCs w:val="22"/>
        </w:rPr>
        <w:t xml:space="preserve">Résumé du projet de loi N° </w:t>
      </w:r>
      <w:r w:rsidR="000F2B90">
        <w:rPr>
          <w:rFonts w:cs="Arial"/>
          <w:b/>
          <w:bCs/>
          <w:kern w:val="0"/>
          <w:szCs w:val="22"/>
        </w:rPr>
        <w:t>8220</w:t>
      </w:r>
    </w:p>
    <w:p w:rsidR="0085745A" w:rsidRDefault="0085745A" w:rsidP="0085745A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3763AC" w:rsidRDefault="003763AC" w:rsidP="003763AC">
      <w:pPr>
        <w:spacing w:after="0" w:line="240" w:lineRule="auto"/>
        <w:jc w:val="both"/>
        <w:rPr>
          <w:rFonts w:cs="Arial"/>
          <w:kern w:val="0"/>
          <w:szCs w:val="22"/>
        </w:rPr>
      </w:pPr>
      <w:r w:rsidRPr="003763AC">
        <w:rPr>
          <w:rFonts w:cs="Arial"/>
          <w:kern w:val="0"/>
          <w:szCs w:val="22"/>
        </w:rPr>
        <w:t xml:space="preserve">L’article unique </w:t>
      </w:r>
      <w:r>
        <w:rPr>
          <w:rFonts w:cs="Arial"/>
          <w:kern w:val="0"/>
          <w:szCs w:val="22"/>
        </w:rPr>
        <w:t xml:space="preserve">du projet de loi </w:t>
      </w:r>
      <w:r w:rsidRPr="003763AC">
        <w:rPr>
          <w:rFonts w:cs="Arial"/>
          <w:kern w:val="0"/>
          <w:szCs w:val="22"/>
        </w:rPr>
        <w:t xml:space="preserve">modifie l’article 3, paragraphe 3, de la loi du 2 novembre 2021 relative à un contrôle de proportionnalité avant l’adoption d’une nouvelle réglementation de professions. </w:t>
      </w:r>
    </w:p>
    <w:p w:rsidR="003763AC" w:rsidRDefault="003763AC" w:rsidP="003763AC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970377" w:rsidRDefault="003763AC" w:rsidP="003763AC">
      <w:pPr>
        <w:spacing w:after="0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La loi à modifier a transposé </w:t>
      </w:r>
      <w:r w:rsidRPr="003763AC">
        <w:rPr>
          <w:rFonts w:cs="Arial"/>
          <w:kern w:val="0"/>
          <w:szCs w:val="22"/>
        </w:rPr>
        <w:t>en droit national la directive (UE) 2018/958 du Parlement européen et du Conseil du 28 juin 2018</w:t>
      </w:r>
      <w:r w:rsidR="00970377">
        <w:rPr>
          <w:rFonts w:cs="Arial"/>
          <w:kern w:val="0"/>
          <w:szCs w:val="22"/>
        </w:rPr>
        <w:t xml:space="preserve">. </w:t>
      </w:r>
      <w:r>
        <w:rPr>
          <w:rFonts w:cs="Arial"/>
          <w:kern w:val="0"/>
          <w:szCs w:val="22"/>
        </w:rPr>
        <w:t xml:space="preserve">Or, la Commission européenne a </w:t>
      </w:r>
      <w:r w:rsidR="00970377" w:rsidRPr="00970377">
        <w:rPr>
          <w:rFonts w:cs="Arial"/>
          <w:kern w:val="0"/>
          <w:szCs w:val="22"/>
        </w:rPr>
        <w:t>relevé une lacune dans la loi de transposition en ce qui concerne l’hypothèse d’amendements</w:t>
      </w:r>
      <w:r w:rsidR="00970377">
        <w:rPr>
          <w:rFonts w:cs="Arial"/>
          <w:kern w:val="0"/>
          <w:szCs w:val="22"/>
        </w:rPr>
        <w:t xml:space="preserve"> parlementaires ou gouvernementaux, touchant à</w:t>
      </w:r>
      <w:r w:rsidR="00970377" w:rsidRPr="00970377">
        <w:rPr>
          <w:rFonts w:cs="Arial"/>
          <w:kern w:val="0"/>
          <w:szCs w:val="22"/>
        </w:rPr>
        <w:t xml:space="preserve"> des propositions ou projets de loi </w:t>
      </w:r>
      <w:r w:rsidR="00FF1BCA">
        <w:rPr>
          <w:rFonts w:cs="Arial"/>
          <w:kern w:val="0"/>
          <w:szCs w:val="22"/>
        </w:rPr>
        <w:t>réglementant</w:t>
      </w:r>
      <w:r w:rsidR="00FF1BCA" w:rsidRPr="00970377">
        <w:rPr>
          <w:rFonts w:cs="Arial"/>
          <w:kern w:val="0"/>
          <w:szCs w:val="22"/>
        </w:rPr>
        <w:t xml:space="preserve"> </w:t>
      </w:r>
      <w:r w:rsidR="00970377" w:rsidRPr="00970377">
        <w:rPr>
          <w:rFonts w:cs="Arial"/>
          <w:kern w:val="0"/>
          <w:szCs w:val="22"/>
        </w:rPr>
        <w:t>l’accès à une profession ou son exercice</w:t>
      </w:r>
      <w:r w:rsidR="00970377">
        <w:rPr>
          <w:rFonts w:cs="Arial"/>
          <w:kern w:val="0"/>
          <w:szCs w:val="22"/>
        </w:rPr>
        <w:t xml:space="preserve">. En effet, ces </w:t>
      </w:r>
      <w:r w:rsidR="00970377" w:rsidRPr="00970377">
        <w:rPr>
          <w:rFonts w:cs="Arial"/>
          <w:kern w:val="0"/>
          <w:szCs w:val="22"/>
        </w:rPr>
        <w:t xml:space="preserve">amendements ne sont pas expressément soumis à un examen de proportionnalité. </w:t>
      </w:r>
      <w:r w:rsidR="00970377">
        <w:rPr>
          <w:rFonts w:cs="Arial"/>
          <w:kern w:val="0"/>
          <w:szCs w:val="22"/>
        </w:rPr>
        <w:t>L’objet principal de c</w:t>
      </w:r>
      <w:r w:rsidR="00970377" w:rsidRPr="00970377">
        <w:rPr>
          <w:rFonts w:cs="Arial"/>
          <w:kern w:val="0"/>
          <w:szCs w:val="22"/>
        </w:rPr>
        <w:t xml:space="preserve">e projet de loi </w:t>
      </w:r>
      <w:r w:rsidR="00970377">
        <w:rPr>
          <w:rFonts w:cs="Arial"/>
          <w:kern w:val="0"/>
          <w:szCs w:val="22"/>
        </w:rPr>
        <w:t>est</w:t>
      </w:r>
      <w:r w:rsidR="00970377" w:rsidRPr="00970377">
        <w:rPr>
          <w:rFonts w:cs="Arial"/>
          <w:kern w:val="0"/>
          <w:szCs w:val="22"/>
        </w:rPr>
        <w:t xml:space="preserve"> donc de remédier à cette lacune.</w:t>
      </w:r>
    </w:p>
    <w:p w:rsidR="00970377" w:rsidRDefault="00970377" w:rsidP="00970377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3763AC" w:rsidRDefault="00970377" w:rsidP="003763AC">
      <w:pPr>
        <w:spacing w:after="0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Le deuxième point de l’article reprend </w:t>
      </w:r>
      <w:r w:rsidR="00797501">
        <w:rPr>
          <w:rFonts w:cs="Arial"/>
          <w:kern w:val="0"/>
          <w:szCs w:val="22"/>
        </w:rPr>
        <w:t xml:space="preserve">au niveau de la loi un délai de publication </w:t>
      </w:r>
      <w:r w:rsidR="000C4FEC">
        <w:rPr>
          <w:rFonts w:cs="Arial"/>
          <w:kern w:val="0"/>
          <w:szCs w:val="22"/>
        </w:rPr>
        <w:t xml:space="preserve">initialement prévu </w:t>
      </w:r>
      <w:r w:rsidR="000C4FEC" w:rsidRPr="00970377">
        <w:rPr>
          <w:rFonts w:cs="Arial"/>
          <w:kern w:val="0"/>
          <w:szCs w:val="22"/>
        </w:rPr>
        <w:t xml:space="preserve">dans le projet de règlement grand-ducal </w:t>
      </w:r>
      <w:r w:rsidR="000C4FEC">
        <w:rPr>
          <w:rFonts w:cs="Arial"/>
          <w:kern w:val="0"/>
          <w:szCs w:val="22"/>
        </w:rPr>
        <w:t xml:space="preserve">d’exécution de la loi à modifier. Dans son </w:t>
      </w:r>
      <w:r w:rsidR="000C4FEC" w:rsidRPr="00970377">
        <w:rPr>
          <w:rFonts w:cs="Arial"/>
          <w:kern w:val="0"/>
          <w:szCs w:val="22"/>
        </w:rPr>
        <w:t>avis afférent</w:t>
      </w:r>
      <w:r w:rsidR="000C4FEC">
        <w:rPr>
          <w:rFonts w:cs="Arial"/>
          <w:kern w:val="0"/>
          <w:szCs w:val="22"/>
        </w:rPr>
        <w:t>, le</w:t>
      </w:r>
      <w:r w:rsidR="000C4FEC" w:rsidRPr="00970377">
        <w:rPr>
          <w:rFonts w:cs="Arial"/>
          <w:kern w:val="0"/>
          <w:szCs w:val="22"/>
        </w:rPr>
        <w:t xml:space="preserve"> Conseil d’Etat</w:t>
      </w:r>
      <w:r w:rsidR="000C4FEC">
        <w:rPr>
          <w:rFonts w:cs="Arial"/>
          <w:kern w:val="0"/>
          <w:szCs w:val="22"/>
        </w:rPr>
        <w:t xml:space="preserve"> avait </w:t>
      </w:r>
      <w:r w:rsidR="000C4FEC" w:rsidRPr="00970377">
        <w:rPr>
          <w:rFonts w:cs="Arial"/>
          <w:kern w:val="0"/>
          <w:szCs w:val="22"/>
        </w:rPr>
        <w:t>souligné que la fixation d’un tel délai applicable à la procédure d’adoption de dispositions réglementaires appartient au seul législateur.</w:t>
      </w:r>
      <w:r w:rsidR="000C4FEC">
        <w:rPr>
          <w:rFonts w:cs="Arial"/>
          <w:kern w:val="0"/>
          <w:szCs w:val="22"/>
        </w:rPr>
        <w:t xml:space="preserve"> Il s’agit d’un délai d’un mois à respecter </w:t>
      </w:r>
      <w:r w:rsidR="00797501" w:rsidRPr="00970377">
        <w:rPr>
          <w:rFonts w:cs="Arial"/>
          <w:kern w:val="0"/>
          <w:szCs w:val="22"/>
        </w:rPr>
        <w:t>avant l’adoption d’une règlementation d’une profession par un établissement public ou un organisme professionnel</w:t>
      </w:r>
      <w:r w:rsidR="000C4FEC">
        <w:rPr>
          <w:rFonts w:cs="Arial"/>
          <w:kern w:val="0"/>
          <w:szCs w:val="22"/>
        </w:rPr>
        <w:t>.</w:t>
      </w:r>
    </w:p>
    <w:p w:rsidR="000C4FEC" w:rsidRPr="00E64024" w:rsidRDefault="000C4FEC" w:rsidP="003763AC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EB42DF" w:rsidRPr="0085745A" w:rsidRDefault="00EB42DF" w:rsidP="00EB42DF">
      <w:pPr>
        <w:spacing w:after="0" w:line="240" w:lineRule="auto"/>
        <w:jc w:val="center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*</w:t>
      </w:r>
    </w:p>
    <w:sectPr w:rsidR="00EB42DF" w:rsidRPr="0085745A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A4" w:rsidRDefault="007F12A4" w:rsidP="0085745A">
      <w:pPr>
        <w:spacing w:after="0" w:line="240" w:lineRule="auto"/>
      </w:pPr>
      <w:r>
        <w:separator/>
      </w:r>
    </w:p>
  </w:endnote>
  <w:endnote w:type="continuationSeparator" w:id="0">
    <w:p w:rsidR="007F12A4" w:rsidRDefault="007F12A4" w:rsidP="0085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A4" w:rsidRDefault="007F12A4" w:rsidP="0085745A">
      <w:pPr>
        <w:spacing w:after="0" w:line="240" w:lineRule="auto"/>
      </w:pPr>
      <w:r>
        <w:separator/>
      </w:r>
    </w:p>
  </w:footnote>
  <w:footnote w:type="continuationSeparator" w:id="0">
    <w:p w:rsidR="007F12A4" w:rsidRDefault="007F12A4" w:rsidP="0085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3DFC"/>
    <w:multiLevelType w:val="hybridMultilevel"/>
    <w:tmpl w:val="EF40FE04"/>
    <w:lvl w:ilvl="0" w:tplc="18A4CA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47B"/>
    <w:multiLevelType w:val="hybridMultilevel"/>
    <w:tmpl w:val="FA6C8368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AD3"/>
    <w:multiLevelType w:val="hybridMultilevel"/>
    <w:tmpl w:val="570840CE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FD2"/>
    <w:multiLevelType w:val="hybridMultilevel"/>
    <w:tmpl w:val="E82453C2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4B6E"/>
    <w:multiLevelType w:val="hybridMultilevel"/>
    <w:tmpl w:val="5956AD70"/>
    <w:lvl w:ilvl="0" w:tplc="1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3" w:hanging="360"/>
      </w:pPr>
    </w:lvl>
    <w:lvl w:ilvl="2" w:tplc="040C001B" w:tentative="1">
      <w:start w:val="1"/>
      <w:numFmt w:val="lowerRoman"/>
      <w:lvlText w:val="%3."/>
      <w:lvlJc w:val="right"/>
      <w:pPr>
        <w:ind w:left="2733" w:hanging="180"/>
      </w:pPr>
    </w:lvl>
    <w:lvl w:ilvl="3" w:tplc="040C000F" w:tentative="1">
      <w:start w:val="1"/>
      <w:numFmt w:val="decimal"/>
      <w:lvlText w:val="%4."/>
      <w:lvlJc w:val="left"/>
      <w:pPr>
        <w:ind w:left="3453" w:hanging="360"/>
      </w:pPr>
    </w:lvl>
    <w:lvl w:ilvl="4" w:tplc="040C0019" w:tentative="1">
      <w:start w:val="1"/>
      <w:numFmt w:val="lowerLetter"/>
      <w:lvlText w:val="%5."/>
      <w:lvlJc w:val="left"/>
      <w:pPr>
        <w:ind w:left="4173" w:hanging="360"/>
      </w:pPr>
    </w:lvl>
    <w:lvl w:ilvl="5" w:tplc="040C001B" w:tentative="1">
      <w:start w:val="1"/>
      <w:numFmt w:val="lowerRoman"/>
      <w:lvlText w:val="%6."/>
      <w:lvlJc w:val="right"/>
      <w:pPr>
        <w:ind w:left="4893" w:hanging="180"/>
      </w:pPr>
    </w:lvl>
    <w:lvl w:ilvl="6" w:tplc="040C000F" w:tentative="1">
      <w:start w:val="1"/>
      <w:numFmt w:val="decimal"/>
      <w:lvlText w:val="%7."/>
      <w:lvlJc w:val="left"/>
      <w:pPr>
        <w:ind w:left="5613" w:hanging="360"/>
      </w:pPr>
    </w:lvl>
    <w:lvl w:ilvl="7" w:tplc="040C0019" w:tentative="1">
      <w:start w:val="1"/>
      <w:numFmt w:val="lowerLetter"/>
      <w:lvlText w:val="%8."/>
      <w:lvlJc w:val="left"/>
      <w:pPr>
        <w:ind w:left="6333" w:hanging="360"/>
      </w:pPr>
    </w:lvl>
    <w:lvl w:ilvl="8" w:tplc="040C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72BC5FF8"/>
    <w:multiLevelType w:val="hybridMultilevel"/>
    <w:tmpl w:val="A6326B6A"/>
    <w:lvl w:ilvl="0" w:tplc="140C000F">
      <w:start w:val="1"/>
      <w:numFmt w:val="decimal"/>
      <w:lvlText w:val="%1."/>
      <w:lvlJc w:val="left"/>
      <w:pPr>
        <w:ind w:left="2577" w:hanging="360"/>
      </w:pPr>
    </w:lvl>
    <w:lvl w:ilvl="1" w:tplc="040C0019" w:tentative="1">
      <w:start w:val="1"/>
      <w:numFmt w:val="lowerLetter"/>
      <w:lvlText w:val="%2."/>
      <w:lvlJc w:val="left"/>
      <w:pPr>
        <w:ind w:left="3297" w:hanging="360"/>
      </w:pPr>
    </w:lvl>
    <w:lvl w:ilvl="2" w:tplc="040C001B" w:tentative="1">
      <w:start w:val="1"/>
      <w:numFmt w:val="lowerRoman"/>
      <w:lvlText w:val="%3."/>
      <w:lvlJc w:val="right"/>
      <w:pPr>
        <w:ind w:left="4017" w:hanging="180"/>
      </w:pPr>
    </w:lvl>
    <w:lvl w:ilvl="3" w:tplc="040C000F" w:tentative="1">
      <w:start w:val="1"/>
      <w:numFmt w:val="decimal"/>
      <w:lvlText w:val="%4."/>
      <w:lvlJc w:val="left"/>
      <w:pPr>
        <w:ind w:left="4737" w:hanging="360"/>
      </w:pPr>
    </w:lvl>
    <w:lvl w:ilvl="4" w:tplc="040C0019" w:tentative="1">
      <w:start w:val="1"/>
      <w:numFmt w:val="lowerLetter"/>
      <w:lvlText w:val="%5."/>
      <w:lvlJc w:val="left"/>
      <w:pPr>
        <w:ind w:left="5457" w:hanging="360"/>
      </w:pPr>
    </w:lvl>
    <w:lvl w:ilvl="5" w:tplc="040C001B" w:tentative="1">
      <w:start w:val="1"/>
      <w:numFmt w:val="lowerRoman"/>
      <w:lvlText w:val="%6."/>
      <w:lvlJc w:val="right"/>
      <w:pPr>
        <w:ind w:left="6177" w:hanging="180"/>
      </w:pPr>
    </w:lvl>
    <w:lvl w:ilvl="6" w:tplc="040C000F" w:tentative="1">
      <w:start w:val="1"/>
      <w:numFmt w:val="decimal"/>
      <w:lvlText w:val="%7."/>
      <w:lvlJc w:val="left"/>
      <w:pPr>
        <w:ind w:left="6897" w:hanging="360"/>
      </w:pPr>
    </w:lvl>
    <w:lvl w:ilvl="7" w:tplc="040C0019" w:tentative="1">
      <w:start w:val="1"/>
      <w:numFmt w:val="lowerLetter"/>
      <w:lvlText w:val="%8."/>
      <w:lvlJc w:val="left"/>
      <w:pPr>
        <w:ind w:left="7617" w:hanging="360"/>
      </w:pPr>
    </w:lvl>
    <w:lvl w:ilvl="8" w:tplc="040C001B" w:tentative="1">
      <w:start w:val="1"/>
      <w:numFmt w:val="lowerRoman"/>
      <w:lvlText w:val="%9."/>
      <w:lvlJc w:val="right"/>
      <w:pPr>
        <w:ind w:left="833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45A"/>
    <w:rsid w:val="000861F5"/>
    <w:rsid w:val="000C4FEC"/>
    <w:rsid w:val="000F2B90"/>
    <w:rsid w:val="00106310"/>
    <w:rsid w:val="001355D2"/>
    <w:rsid w:val="0014697E"/>
    <w:rsid w:val="001C5C1C"/>
    <w:rsid w:val="00256E33"/>
    <w:rsid w:val="002D22B5"/>
    <w:rsid w:val="003763AC"/>
    <w:rsid w:val="003A3C88"/>
    <w:rsid w:val="003A5C86"/>
    <w:rsid w:val="003B4D06"/>
    <w:rsid w:val="00436CC2"/>
    <w:rsid w:val="006E3BD1"/>
    <w:rsid w:val="006F0261"/>
    <w:rsid w:val="007778E5"/>
    <w:rsid w:val="007824C5"/>
    <w:rsid w:val="00790EF5"/>
    <w:rsid w:val="00797501"/>
    <w:rsid w:val="007F12A4"/>
    <w:rsid w:val="008148E2"/>
    <w:rsid w:val="00833DBE"/>
    <w:rsid w:val="0085745A"/>
    <w:rsid w:val="00877E29"/>
    <w:rsid w:val="008E05EC"/>
    <w:rsid w:val="009029C8"/>
    <w:rsid w:val="00970377"/>
    <w:rsid w:val="00B424FD"/>
    <w:rsid w:val="00C37BA0"/>
    <w:rsid w:val="00D174FF"/>
    <w:rsid w:val="00E24E8A"/>
    <w:rsid w:val="00E25794"/>
    <w:rsid w:val="00E64024"/>
    <w:rsid w:val="00EB42DF"/>
    <w:rsid w:val="00EC3565"/>
    <w:rsid w:val="00FE5CFE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1897C4-A006-41C0-BE27-887DDAB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85745A"/>
    <w:pPr>
      <w:spacing w:after="0" w:line="240" w:lineRule="auto"/>
      <w:jc w:val="both"/>
    </w:pPr>
    <w:rPr>
      <w:rFonts w:ascii="Tahoma" w:hAnsi="Tahoma"/>
      <w:kern w:val="0"/>
      <w:sz w:val="20"/>
      <w:szCs w:val="20"/>
      <w:lang w:val="fr-LU"/>
    </w:rPr>
  </w:style>
  <w:style w:type="character" w:customStyle="1" w:styleId="NotedebasdepageCar">
    <w:name w:val="Note de bas de page Car"/>
    <w:link w:val="Notedebasdepage"/>
    <w:rsid w:val="0085745A"/>
    <w:rPr>
      <w:rFonts w:ascii="Tahoma" w:hAnsi="Tahoma"/>
      <w:lang w:val="fr-LU"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85745A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3A5C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C8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A5C86"/>
    <w:rPr>
      <w:kern w:val="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C8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A5C86"/>
    <w:rPr>
      <w:b/>
      <w:bCs/>
      <w:kern w:val="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A5C86"/>
    <w:rPr>
      <w:rFonts w:ascii="Segoe UI" w:hAnsi="Segoe UI" w:cs="Segoe UI"/>
      <w:kern w:val="2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2D22B5"/>
    <w:rPr>
      <w:kern w:val="2"/>
      <w:sz w:val="22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E6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DP8220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8220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/sftpecos/Dossiers_parlementaires/8220/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284A2FB-63D6-4F0A-9775-B09668BCD4CB}"/>
</file>

<file path=customXml/itemProps2.xml><?xml version="1.0" encoding="utf-8"?>
<ds:datastoreItem xmlns:ds="http://schemas.openxmlformats.org/officeDocument/2006/customXml" ds:itemID="{DDB297C2-7B34-4C75-A325-57537615C9CF}"/>
</file>

<file path=customXml/itemProps3.xml><?xml version="1.0" encoding="utf-8"?>
<ds:datastoreItem xmlns:ds="http://schemas.openxmlformats.org/officeDocument/2006/customXml" ds:itemID="{F45A85AF-B8D7-44BA-BE82-70A1168E2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