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4E" w:rsidRPr="00CA63F4" w:rsidRDefault="004915B2" w:rsidP="004915B2">
      <w:pPr>
        <w:spacing w:after="0" w:line="240" w:lineRule="auto"/>
        <w:jc w:val="both"/>
        <w:rPr>
          <w:rFonts w:ascii="Arial" w:hAnsi="Arial" w:cs="Arial"/>
          <w:b/>
          <w:bCs/>
          <w:lang w:val="en-US"/>
        </w:rPr>
      </w:pPr>
      <w:bookmarkStart w:id="0" w:name="_GoBack"/>
      <w:bookmarkEnd w:id="0"/>
      <w:r w:rsidRPr="00CA63F4">
        <w:rPr>
          <w:rFonts w:ascii="Arial" w:hAnsi="Arial" w:cs="Arial"/>
          <w:b/>
          <w:bCs/>
        </w:rPr>
        <w:t xml:space="preserve">Projet de loi </w:t>
      </w:r>
      <w:r w:rsidR="003B1F03" w:rsidRPr="00CA63F4">
        <w:rPr>
          <w:rFonts w:ascii="Arial" w:hAnsi="Arial" w:cs="Arial"/>
          <w:b/>
        </w:rPr>
        <w:t>portant modification de la loi modifiée du 12 février 1979 concernant la taxe sur la valeur ajoutée en vue de la transposition de la directive (UE) 2020/284 du Conseil du 18 février 2020 modifiant la directive 2006/112/CE en ce qui concerne l’instauration de certaines exigences applicables aux prestataires de services de paiement</w:t>
      </w:r>
    </w:p>
    <w:p w:rsidR="003E60C1" w:rsidRDefault="003E60C1" w:rsidP="00595D88">
      <w:pPr>
        <w:spacing w:after="0" w:line="240" w:lineRule="auto"/>
        <w:jc w:val="both"/>
        <w:rPr>
          <w:rFonts w:ascii="Arial" w:hAnsi="Arial" w:cs="Arial"/>
          <w:lang w:val="fr-FR"/>
        </w:rPr>
      </w:pPr>
    </w:p>
    <w:p w:rsidR="006E2572" w:rsidRPr="006E2572" w:rsidRDefault="006E2572" w:rsidP="006E2572">
      <w:pPr>
        <w:spacing w:after="0" w:line="240" w:lineRule="auto"/>
        <w:jc w:val="both"/>
        <w:rPr>
          <w:rFonts w:ascii="Arial" w:hAnsi="Arial" w:cs="Arial"/>
          <w:lang w:val="fr-CH"/>
        </w:rPr>
      </w:pPr>
      <w:r w:rsidRPr="006E2572">
        <w:rPr>
          <w:rFonts w:ascii="Arial" w:hAnsi="Arial" w:cs="Arial"/>
          <w:lang w:val="fr-CH"/>
        </w:rPr>
        <w:t>Le projet de loi sous rubrique a pour objet de transposer en droit luxembourgeois les dispositions de la directive (UE) 2020/284 du Conseil du 18 février 2020 modifiant la directive 2006/112/CE en ce qui concerne l’instauration de certaines exigences applicables aux prestataires de services de paiement (ci-après « directive (UE) 2020/284 »).</w:t>
      </w:r>
    </w:p>
    <w:p w:rsidR="006E2572" w:rsidRDefault="006E2572" w:rsidP="006E2572">
      <w:pPr>
        <w:spacing w:after="0" w:line="240" w:lineRule="auto"/>
        <w:jc w:val="both"/>
        <w:rPr>
          <w:rFonts w:ascii="Arial" w:hAnsi="Arial" w:cs="Arial"/>
          <w:lang w:val="fr-CH"/>
        </w:rPr>
      </w:pPr>
    </w:p>
    <w:p w:rsidR="006E2572" w:rsidRPr="006E2572" w:rsidRDefault="006E2572" w:rsidP="006E2572">
      <w:pPr>
        <w:spacing w:after="0" w:line="240" w:lineRule="auto"/>
        <w:jc w:val="both"/>
        <w:rPr>
          <w:rFonts w:ascii="Arial" w:hAnsi="Arial" w:cs="Arial"/>
          <w:lang w:val="fr-CH"/>
        </w:rPr>
      </w:pPr>
      <w:r w:rsidRPr="006E2572">
        <w:rPr>
          <w:rFonts w:ascii="Arial" w:hAnsi="Arial" w:cs="Arial"/>
          <w:lang w:val="fr-CH"/>
        </w:rPr>
        <w:t>La directive (UE) 2020/284 a pour but de lutter contre la fraude en matière de taxe sur la valeur ajoutée au sein de l’Union européenne à travers la collecte des données sur les paiements transfrontaliers. Ces données seront examinées par des experts en matière de lutte anti-fraude des États membres.</w:t>
      </w:r>
    </w:p>
    <w:p w:rsidR="006E2572" w:rsidRPr="006E2572" w:rsidRDefault="006E2572" w:rsidP="006E2572">
      <w:pPr>
        <w:spacing w:after="0" w:line="240" w:lineRule="auto"/>
        <w:jc w:val="both"/>
        <w:rPr>
          <w:rFonts w:ascii="Arial" w:hAnsi="Arial" w:cs="Arial"/>
          <w:i/>
          <w:lang w:val="fr-CH"/>
        </w:rPr>
      </w:pPr>
    </w:p>
    <w:p w:rsidR="006E2572" w:rsidRPr="006E2572" w:rsidRDefault="006E2572" w:rsidP="006E2572">
      <w:pPr>
        <w:spacing w:after="0" w:line="240" w:lineRule="auto"/>
        <w:jc w:val="both"/>
        <w:rPr>
          <w:rFonts w:ascii="Arial" w:hAnsi="Arial" w:cs="Arial"/>
          <w:lang w:val="fr-CH"/>
        </w:rPr>
      </w:pPr>
      <w:r w:rsidRPr="006E2572">
        <w:rPr>
          <w:rFonts w:ascii="Arial" w:hAnsi="Arial" w:cs="Arial"/>
          <w:lang w:val="fr-CH"/>
        </w:rPr>
        <w:t>La clé de voûte de la directive (UE) 2020/284 à transposer est le CESOP « Central Electronic System of Payment information » ou en français « Système électronique central concernant les informations sur les paiements ».</w:t>
      </w:r>
    </w:p>
    <w:p w:rsidR="006E2572" w:rsidRPr="006E2572" w:rsidRDefault="006E2572" w:rsidP="006E2572">
      <w:pPr>
        <w:spacing w:after="0" w:line="240" w:lineRule="auto"/>
        <w:jc w:val="both"/>
        <w:rPr>
          <w:rFonts w:ascii="Arial" w:hAnsi="Arial" w:cs="Arial"/>
          <w:lang w:val="fr-CH"/>
        </w:rPr>
      </w:pPr>
    </w:p>
    <w:p w:rsidR="006E2572" w:rsidRPr="006E2572" w:rsidRDefault="003E60C1" w:rsidP="006E2572">
      <w:pPr>
        <w:spacing w:after="0" w:line="240" w:lineRule="auto"/>
        <w:jc w:val="both"/>
        <w:rPr>
          <w:rFonts w:ascii="Arial" w:hAnsi="Arial" w:cs="Arial"/>
          <w:lang w:val="fr-CH"/>
        </w:rPr>
      </w:pPr>
      <w:r>
        <w:rPr>
          <w:rFonts w:ascii="Arial" w:hAnsi="Arial" w:cs="Arial"/>
          <w:lang w:val="fr-CH"/>
        </w:rPr>
        <w:t>Il est prévu que l</w:t>
      </w:r>
      <w:r w:rsidR="006E2572" w:rsidRPr="006E2572">
        <w:rPr>
          <w:rFonts w:ascii="Arial" w:hAnsi="Arial" w:cs="Arial"/>
          <w:lang w:val="fr-CH"/>
        </w:rPr>
        <w:t>es États membres de l’Union européenne alimentent ce système de manière constante d</w:t>
      </w:r>
      <w:r w:rsidR="006E2572">
        <w:rPr>
          <w:rFonts w:ascii="Arial" w:hAnsi="Arial" w:cs="Arial"/>
          <w:lang w:val="fr-CH"/>
        </w:rPr>
        <w:t>’</w:t>
      </w:r>
      <w:r w:rsidR="006E2572" w:rsidRPr="006E2572">
        <w:rPr>
          <w:rFonts w:ascii="Arial" w:hAnsi="Arial" w:cs="Arial"/>
          <w:lang w:val="fr-CH"/>
        </w:rPr>
        <w:t>informations obtenues auprès des prestataires de services de paiement portant sur les paiements et les personnes auxquelles ils sont destinés.</w:t>
      </w:r>
    </w:p>
    <w:p w:rsidR="006E2572" w:rsidRPr="006E2572" w:rsidRDefault="006E2572" w:rsidP="006E2572">
      <w:pPr>
        <w:spacing w:after="0" w:line="240" w:lineRule="auto"/>
        <w:jc w:val="both"/>
        <w:rPr>
          <w:rFonts w:ascii="Arial" w:hAnsi="Arial" w:cs="Arial"/>
          <w:lang w:val="fr-CH"/>
        </w:rPr>
      </w:pPr>
    </w:p>
    <w:p w:rsidR="006E2572" w:rsidRPr="006E2572" w:rsidRDefault="006E2572" w:rsidP="006E2572">
      <w:pPr>
        <w:spacing w:after="0" w:line="240" w:lineRule="auto"/>
        <w:jc w:val="both"/>
        <w:rPr>
          <w:rFonts w:ascii="Arial" w:hAnsi="Arial" w:cs="Arial"/>
          <w:lang w:val="fr-CH"/>
        </w:rPr>
      </w:pPr>
      <w:r w:rsidRPr="006E2572">
        <w:rPr>
          <w:rFonts w:ascii="Arial" w:hAnsi="Arial" w:cs="Arial"/>
          <w:lang w:val="fr-CH"/>
        </w:rPr>
        <w:t>La mise en place du CESOP a été prévue par le règlement (UE) 2020/283 du Conseil du 18 février 2020 modifiant le règlement (UE) n° 904/2010 en ce qui concerne des mesures de renforcement de la coopération administrative afin de lutter contre la fraude à la TVA</w:t>
      </w:r>
      <w:r w:rsidR="003E60C1">
        <w:rPr>
          <w:rFonts w:ascii="Arial" w:hAnsi="Arial" w:cs="Arial"/>
          <w:lang w:val="fr-CH"/>
        </w:rPr>
        <w:t xml:space="preserve"> (</w:t>
      </w:r>
      <w:r w:rsidRPr="006E2572">
        <w:rPr>
          <w:rFonts w:ascii="Arial" w:hAnsi="Arial" w:cs="Arial"/>
          <w:lang w:val="fr-CH"/>
        </w:rPr>
        <w:t>ci</w:t>
      </w:r>
      <w:r w:rsidRPr="006E2572">
        <w:rPr>
          <w:rFonts w:ascii="Cambria Math" w:hAnsi="Cambria Math" w:cs="Cambria Math"/>
          <w:lang w:val="fr-CH"/>
        </w:rPr>
        <w:t>‑</w:t>
      </w:r>
      <w:r w:rsidRPr="006E2572">
        <w:rPr>
          <w:rFonts w:ascii="Arial" w:hAnsi="Arial" w:cs="Arial"/>
          <w:lang w:val="fr-CH"/>
        </w:rPr>
        <w:t>après « règlement (UE) 2020/283 »).</w:t>
      </w:r>
    </w:p>
    <w:p w:rsidR="006E2572" w:rsidRPr="006E2572" w:rsidRDefault="006E2572" w:rsidP="006E2572">
      <w:pPr>
        <w:spacing w:after="0" w:line="240" w:lineRule="auto"/>
        <w:jc w:val="both"/>
        <w:rPr>
          <w:rFonts w:ascii="Arial" w:hAnsi="Arial" w:cs="Arial"/>
          <w:lang w:val="fr-CH"/>
        </w:rPr>
      </w:pPr>
    </w:p>
    <w:p w:rsidR="006E2572" w:rsidRPr="006E2572" w:rsidRDefault="006E2572" w:rsidP="006E2572">
      <w:pPr>
        <w:spacing w:after="0" w:line="240" w:lineRule="auto"/>
        <w:jc w:val="both"/>
        <w:rPr>
          <w:rFonts w:ascii="Arial" w:hAnsi="Arial" w:cs="Arial"/>
          <w:lang w:val="fr-CH"/>
        </w:rPr>
      </w:pPr>
      <w:r w:rsidRPr="006E2572">
        <w:rPr>
          <w:rFonts w:ascii="Arial" w:hAnsi="Arial" w:cs="Arial"/>
          <w:lang w:val="fr-CH"/>
        </w:rPr>
        <w:t>La directive (UE) 2020/284 est applicable à partir d'un seuil de 25 paiements transfrontaliers effectués au cours d'un trimestre civil et destinés au même bénéficiaire. Dès lors, ces paiements sont considérés avoir lieu dans le cadre d’une activité économique.</w:t>
      </w:r>
    </w:p>
    <w:p w:rsidR="006E2572" w:rsidRPr="006E2572" w:rsidRDefault="006E2572" w:rsidP="006E2572">
      <w:pPr>
        <w:spacing w:after="0" w:line="240" w:lineRule="auto"/>
        <w:jc w:val="both"/>
        <w:rPr>
          <w:rFonts w:ascii="Arial" w:hAnsi="Arial" w:cs="Arial"/>
          <w:lang w:val="fr-CH"/>
        </w:rPr>
      </w:pPr>
    </w:p>
    <w:p w:rsidR="006E2572" w:rsidRPr="006E2572" w:rsidRDefault="006E2572" w:rsidP="006E2572">
      <w:pPr>
        <w:spacing w:after="0" w:line="240" w:lineRule="auto"/>
        <w:jc w:val="both"/>
        <w:rPr>
          <w:rFonts w:ascii="Arial" w:hAnsi="Arial" w:cs="Arial"/>
          <w:lang w:val="fr-CH"/>
        </w:rPr>
      </w:pPr>
      <w:r w:rsidRPr="006E2572">
        <w:rPr>
          <w:rFonts w:ascii="Arial" w:hAnsi="Arial" w:cs="Arial"/>
          <w:lang w:val="fr-CH"/>
        </w:rPr>
        <w:t>La directive (UE) 2020/284 définit les informations à collecter par les prestataires de services de paiement pour les communiquer aux autorités fiscales aux fins prévues par le règlement (UE) 2020/283, ainsi que les modalités d’application de cette obligation.</w:t>
      </w:r>
    </w:p>
    <w:p w:rsidR="006E2572" w:rsidRPr="006E2572" w:rsidRDefault="006E2572" w:rsidP="006E2572">
      <w:pPr>
        <w:spacing w:after="0" w:line="240" w:lineRule="auto"/>
        <w:jc w:val="both"/>
        <w:rPr>
          <w:rFonts w:ascii="Arial" w:hAnsi="Arial" w:cs="Arial"/>
          <w:lang w:val="fr-CH"/>
        </w:rPr>
      </w:pPr>
    </w:p>
    <w:p w:rsidR="006E2572" w:rsidRPr="006E2572" w:rsidRDefault="006E2572" w:rsidP="006E2572">
      <w:pPr>
        <w:spacing w:after="0" w:line="240" w:lineRule="auto"/>
        <w:jc w:val="both"/>
        <w:rPr>
          <w:rFonts w:ascii="Arial" w:hAnsi="Arial" w:cs="Arial"/>
          <w:lang w:val="fr-CH"/>
        </w:rPr>
      </w:pPr>
      <w:r w:rsidRPr="006E2572">
        <w:rPr>
          <w:rFonts w:ascii="Arial" w:hAnsi="Arial" w:cs="Arial"/>
          <w:lang w:val="fr-CH"/>
        </w:rPr>
        <w:t>La directive (UE) 2020/284 est applicable dès le 1</w:t>
      </w:r>
      <w:r w:rsidRPr="006E2572">
        <w:rPr>
          <w:rFonts w:ascii="Arial" w:hAnsi="Arial" w:cs="Arial"/>
          <w:vertAlign w:val="superscript"/>
          <w:lang w:val="fr-CH"/>
        </w:rPr>
        <w:t>er</w:t>
      </w:r>
      <w:r w:rsidRPr="006E2572">
        <w:rPr>
          <w:rFonts w:ascii="Arial" w:hAnsi="Arial" w:cs="Arial"/>
          <w:lang w:val="fr-CH"/>
        </w:rPr>
        <w:t xml:space="preserve"> janvier 2024. La première transmission de données, portant sur le 1</w:t>
      </w:r>
      <w:r w:rsidRPr="006E2572">
        <w:rPr>
          <w:rFonts w:ascii="Arial" w:hAnsi="Arial" w:cs="Arial"/>
          <w:vertAlign w:val="superscript"/>
          <w:lang w:val="fr-CH"/>
        </w:rPr>
        <w:t>er</w:t>
      </w:r>
      <w:r w:rsidRPr="006E2572">
        <w:rPr>
          <w:rFonts w:ascii="Arial" w:hAnsi="Arial" w:cs="Arial"/>
          <w:lang w:val="fr-CH"/>
        </w:rPr>
        <w:t xml:space="preserve"> trimestre 2024, devra s’effectuer pour le 30 avril 2024. La transposition en droit national devra être faite pour le 31 décembre 2023.</w:t>
      </w:r>
    </w:p>
    <w:p w:rsidR="006E2572" w:rsidRPr="006E2572" w:rsidRDefault="006E2572" w:rsidP="006E2572">
      <w:pPr>
        <w:spacing w:after="0" w:line="240" w:lineRule="auto"/>
        <w:jc w:val="both"/>
        <w:rPr>
          <w:rFonts w:ascii="Arial" w:hAnsi="Arial" w:cs="Arial"/>
          <w:lang w:val="fr-CH"/>
        </w:rPr>
      </w:pPr>
    </w:p>
    <w:p w:rsidR="00895247" w:rsidRPr="00F826AC" w:rsidRDefault="00895247" w:rsidP="00495E9F">
      <w:pPr>
        <w:spacing w:after="0" w:line="240" w:lineRule="auto"/>
        <w:rPr>
          <w:rFonts w:ascii="Arial" w:hAnsi="Arial" w:cs="Arial"/>
          <w:iCs/>
        </w:rPr>
      </w:pPr>
    </w:p>
    <w:sectPr w:rsidR="00895247" w:rsidRPr="00F826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D8A" w:rsidRDefault="000B0D8A" w:rsidP="006E6CEA">
      <w:pPr>
        <w:spacing w:after="0" w:line="240" w:lineRule="auto"/>
      </w:pPr>
      <w:r>
        <w:separator/>
      </w:r>
    </w:p>
  </w:endnote>
  <w:endnote w:type="continuationSeparator" w:id="0">
    <w:p w:rsidR="000B0D8A" w:rsidRDefault="000B0D8A"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00EC63E3" w:rsidRPr="00EC63E3">
      <w:rPr>
        <w:rFonts w:ascii="Arial" w:hAnsi="Arial" w:cs="Arial"/>
        <w:noProof/>
        <w:sz w:val="20"/>
        <w:szCs w:val="20"/>
        <w:lang w:val="fr-FR"/>
      </w:rPr>
      <w:t>1</w:t>
    </w:r>
    <w:r w:rsidRPr="00B666AC">
      <w:rPr>
        <w:rFonts w:ascii="Arial" w:hAnsi="Arial" w:cs="Arial"/>
        <w:sz w:val="20"/>
        <w:szCs w:val="20"/>
      </w:rPr>
      <w:fldChar w:fldCharType="end"/>
    </w:r>
  </w:p>
  <w:p w:rsidR="006E6CEA" w:rsidRDefault="006E6C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D8A" w:rsidRDefault="000B0D8A" w:rsidP="006E6CEA">
      <w:pPr>
        <w:spacing w:after="0" w:line="240" w:lineRule="auto"/>
      </w:pPr>
      <w:r>
        <w:separator/>
      </w:r>
    </w:p>
  </w:footnote>
  <w:footnote w:type="continuationSeparator" w:id="0">
    <w:p w:rsidR="000B0D8A" w:rsidRDefault="000B0D8A"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3C6E"/>
    <w:multiLevelType w:val="multilevel"/>
    <w:tmpl w:val="AE2E88C8"/>
    <w:numStyleLink w:val="APL"/>
  </w:abstractNum>
  <w:abstractNum w:abstractNumId="1" w15:restartNumberingAfterBreak="0">
    <w:nsid w:val="03480B6F"/>
    <w:multiLevelType w:val="hybridMultilevel"/>
    <w:tmpl w:val="D2D23E38"/>
    <w:lvl w:ilvl="0" w:tplc="730CED3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AB2DC5"/>
    <w:multiLevelType w:val="hybridMultilevel"/>
    <w:tmpl w:val="42225DF8"/>
    <w:lvl w:ilvl="0" w:tplc="C29C86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83A36B7"/>
    <w:multiLevelType w:val="hybridMultilevel"/>
    <w:tmpl w:val="1E26F2A8"/>
    <w:lvl w:ilvl="0" w:tplc="063693CA">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15:restartNumberingAfterBreak="0">
    <w:nsid w:val="194358E3"/>
    <w:multiLevelType w:val="multilevel"/>
    <w:tmpl w:val="AE2E88C8"/>
    <w:numStyleLink w:val="APL"/>
  </w:abstractNum>
  <w:abstractNum w:abstractNumId="5"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1E1248B6"/>
    <w:multiLevelType w:val="hybridMultilevel"/>
    <w:tmpl w:val="3AC63F80"/>
    <w:lvl w:ilvl="0" w:tplc="4596FA26">
      <w:start w:val="1"/>
      <w:numFmt w:val="lowerLetter"/>
      <w:lvlText w:val="%1)"/>
      <w:lvlJc w:val="left"/>
      <w:pPr>
        <w:ind w:left="2628" w:hanging="360"/>
      </w:pPr>
      <w:rPr>
        <w:rFonts w:hint="default"/>
        <w:u w:val="none"/>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15:restartNumberingAfterBreak="0">
    <w:nsid w:val="1EAA1973"/>
    <w:multiLevelType w:val="multilevel"/>
    <w:tmpl w:val="AE2E88C8"/>
    <w:numStyleLink w:val="APL"/>
  </w:abstractNum>
  <w:abstractNum w:abstractNumId="8"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1"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12"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3"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14"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9F24AA"/>
    <w:multiLevelType w:val="multilevel"/>
    <w:tmpl w:val="AE2E88C8"/>
    <w:numStyleLink w:val="APL"/>
  </w:abstractNum>
  <w:abstractNum w:abstractNumId="19"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772F280A"/>
    <w:multiLevelType w:val="hybridMultilevel"/>
    <w:tmpl w:val="E932BF26"/>
    <w:lvl w:ilvl="0" w:tplc="2E2492F2">
      <w:start w:val="1"/>
      <w:numFmt w:val="lowerLetter"/>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752447F"/>
    <w:multiLevelType w:val="hybridMultilevel"/>
    <w:tmpl w:val="8B98B660"/>
    <w:lvl w:ilvl="0" w:tplc="5F302F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9"/>
  </w:num>
  <w:num w:numId="2">
    <w:abstractNumId w:val="9"/>
  </w:num>
  <w:num w:numId="3">
    <w:abstractNumId w:val="15"/>
  </w:num>
  <w:num w:numId="4">
    <w:abstractNumId w:val="17"/>
  </w:num>
  <w:num w:numId="5">
    <w:abstractNumId w:val="14"/>
  </w:num>
  <w:num w:numId="6">
    <w:abstractNumId w:val="22"/>
  </w:num>
  <w:num w:numId="7">
    <w:abstractNumId w:val="23"/>
  </w:num>
  <w:num w:numId="8">
    <w:abstractNumId w:val="5"/>
  </w:num>
  <w:num w:numId="9">
    <w:abstractNumId w:val="10"/>
  </w:num>
  <w:num w:numId="10">
    <w:abstractNumId w:val="4"/>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abstractNumId w:val="18"/>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abstractNumId w:val="7"/>
  </w:num>
  <w:num w:numId="13">
    <w:abstractNumId w:val="11"/>
  </w:num>
  <w:num w:numId="14">
    <w:abstractNumId w:val="12"/>
  </w:num>
  <w:num w:numId="15">
    <w:abstractNumId w:val="0"/>
  </w:num>
  <w:num w:numId="16">
    <w:abstractNumId w:val="13"/>
  </w:num>
  <w:num w:numId="17">
    <w:abstractNumId w:val="8"/>
  </w:num>
  <w:num w:numId="18">
    <w:abstractNumId w:val="16"/>
  </w:num>
  <w:num w:numId="19">
    <w:abstractNumId w:val="20"/>
  </w:num>
  <w:num w:numId="20">
    <w:abstractNumId w:val="21"/>
  </w:num>
  <w:num w:numId="21">
    <w:abstractNumId w:val="6"/>
  </w:num>
  <w:num w:numId="22">
    <w:abstractNumId w:val="24"/>
  </w:num>
  <w:num w:numId="23">
    <w:abstractNumId w:val="1"/>
  </w:num>
  <w:num w:numId="24">
    <w:abstractNumId w:val="2"/>
  </w:num>
  <w:num w:numId="25">
    <w:abstractNumId w:val="2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2D89"/>
    <w:rsid w:val="00014AC5"/>
    <w:rsid w:val="000157E3"/>
    <w:rsid w:val="00015D5C"/>
    <w:rsid w:val="0002273C"/>
    <w:rsid w:val="00026ECB"/>
    <w:rsid w:val="00032612"/>
    <w:rsid w:val="000369A2"/>
    <w:rsid w:val="00071646"/>
    <w:rsid w:val="000762ED"/>
    <w:rsid w:val="000864BE"/>
    <w:rsid w:val="00091107"/>
    <w:rsid w:val="00091327"/>
    <w:rsid w:val="000B0D8A"/>
    <w:rsid w:val="000C1546"/>
    <w:rsid w:val="000C45E8"/>
    <w:rsid w:val="000E235A"/>
    <w:rsid w:val="000F1E3E"/>
    <w:rsid w:val="000F5978"/>
    <w:rsid w:val="0010111B"/>
    <w:rsid w:val="00105955"/>
    <w:rsid w:val="001106F5"/>
    <w:rsid w:val="00124094"/>
    <w:rsid w:val="00124AF3"/>
    <w:rsid w:val="00140E59"/>
    <w:rsid w:val="00157C66"/>
    <w:rsid w:val="00160952"/>
    <w:rsid w:val="00165A5C"/>
    <w:rsid w:val="00170E30"/>
    <w:rsid w:val="0018433C"/>
    <w:rsid w:val="00186575"/>
    <w:rsid w:val="00192479"/>
    <w:rsid w:val="001973E8"/>
    <w:rsid w:val="001A6A33"/>
    <w:rsid w:val="001B6A4B"/>
    <w:rsid w:val="001C2ED4"/>
    <w:rsid w:val="001C6FBC"/>
    <w:rsid w:val="0022485B"/>
    <w:rsid w:val="00244C9A"/>
    <w:rsid w:val="00255C2F"/>
    <w:rsid w:val="0027387E"/>
    <w:rsid w:val="002750A4"/>
    <w:rsid w:val="00280ED3"/>
    <w:rsid w:val="002851C5"/>
    <w:rsid w:val="00293237"/>
    <w:rsid w:val="0029755D"/>
    <w:rsid w:val="002C7D3F"/>
    <w:rsid w:val="002D5CF2"/>
    <w:rsid w:val="002F0ADB"/>
    <w:rsid w:val="002F386A"/>
    <w:rsid w:val="002F3B16"/>
    <w:rsid w:val="00304830"/>
    <w:rsid w:val="003113BD"/>
    <w:rsid w:val="0033142D"/>
    <w:rsid w:val="00332F7C"/>
    <w:rsid w:val="003349D4"/>
    <w:rsid w:val="003350D0"/>
    <w:rsid w:val="003378B4"/>
    <w:rsid w:val="003424D3"/>
    <w:rsid w:val="003B0E6B"/>
    <w:rsid w:val="003B1F03"/>
    <w:rsid w:val="003C230F"/>
    <w:rsid w:val="003C40C7"/>
    <w:rsid w:val="003C6FA3"/>
    <w:rsid w:val="003D681E"/>
    <w:rsid w:val="003E60C1"/>
    <w:rsid w:val="003F2C1C"/>
    <w:rsid w:val="003F5E23"/>
    <w:rsid w:val="003F7A23"/>
    <w:rsid w:val="00426730"/>
    <w:rsid w:val="00426CEF"/>
    <w:rsid w:val="00427E83"/>
    <w:rsid w:val="00443350"/>
    <w:rsid w:val="00443EA9"/>
    <w:rsid w:val="00445EE5"/>
    <w:rsid w:val="00457E34"/>
    <w:rsid w:val="00466FF0"/>
    <w:rsid w:val="004740F2"/>
    <w:rsid w:val="004826A7"/>
    <w:rsid w:val="004915B2"/>
    <w:rsid w:val="00495E9F"/>
    <w:rsid w:val="004A0459"/>
    <w:rsid w:val="004A1E95"/>
    <w:rsid w:val="004C6FDC"/>
    <w:rsid w:val="004F079A"/>
    <w:rsid w:val="00502BCC"/>
    <w:rsid w:val="005031C7"/>
    <w:rsid w:val="00504169"/>
    <w:rsid w:val="00507D1C"/>
    <w:rsid w:val="005173D1"/>
    <w:rsid w:val="00517C33"/>
    <w:rsid w:val="00520C7F"/>
    <w:rsid w:val="00531429"/>
    <w:rsid w:val="00585241"/>
    <w:rsid w:val="00595D88"/>
    <w:rsid w:val="005969DE"/>
    <w:rsid w:val="005A2AF3"/>
    <w:rsid w:val="005A3F3E"/>
    <w:rsid w:val="005A5799"/>
    <w:rsid w:val="005A57B6"/>
    <w:rsid w:val="005B1EAF"/>
    <w:rsid w:val="005B5C56"/>
    <w:rsid w:val="005D3D76"/>
    <w:rsid w:val="005E2CF4"/>
    <w:rsid w:val="00612ABB"/>
    <w:rsid w:val="006206E0"/>
    <w:rsid w:val="00630E07"/>
    <w:rsid w:val="00633300"/>
    <w:rsid w:val="0064032F"/>
    <w:rsid w:val="00643905"/>
    <w:rsid w:val="0066748F"/>
    <w:rsid w:val="006720BC"/>
    <w:rsid w:val="00680705"/>
    <w:rsid w:val="006829B8"/>
    <w:rsid w:val="006862A4"/>
    <w:rsid w:val="006A0FFB"/>
    <w:rsid w:val="006B25FC"/>
    <w:rsid w:val="006B2F26"/>
    <w:rsid w:val="006B33BF"/>
    <w:rsid w:val="006D51BB"/>
    <w:rsid w:val="006D5C5B"/>
    <w:rsid w:val="006E2572"/>
    <w:rsid w:val="006E6CEA"/>
    <w:rsid w:val="006F1000"/>
    <w:rsid w:val="0070037F"/>
    <w:rsid w:val="00705132"/>
    <w:rsid w:val="00716832"/>
    <w:rsid w:val="0072033C"/>
    <w:rsid w:val="007265A3"/>
    <w:rsid w:val="007344C3"/>
    <w:rsid w:val="0073537F"/>
    <w:rsid w:val="00737580"/>
    <w:rsid w:val="00737C28"/>
    <w:rsid w:val="0074285D"/>
    <w:rsid w:val="0074384E"/>
    <w:rsid w:val="00752348"/>
    <w:rsid w:val="00772B00"/>
    <w:rsid w:val="00775C52"/>
    <w:rsid w:val="0078608E"/>
    <w:rsid w:val="007942C7"/>
    <w:rsid w:val="007A5DA5"/>
    <w:rsid w:val="007C160B"/>
    <w:rsid w:val="007D57D1"/>
    <w:rsid w:val="00802625"/>
    <w:rsid w:val="00821E10"/>
    <w:rsid w:val="00825BD2"/>
    <w:rsid w:val="00835FB4"/>
    <w:rsid w:val="008555EA"/>
    <w:rsid w:val="00860053"/>
    <w:rsid w:val="00860178"/>
    <w:rsid w:val="008713AB"/>
    <w:rsid w:val="00885ED7"/>
    <w:rsid w:val="00895247"/>
    <w:rsid w:val="008A6669"/>
    <w:rsid w:val="008B23FC"/>
    <w:rsid w:val="008C2635"/>
    <w:rsid w:val="008C4D3F"/>
    <w:rsid w:val="008D2E3F"/>
    <w:rsid w:val="008E02F7"/>
    <w:rsid w:val="008E2CEC"/>
    <w:rsid w:val="008E64E5"/>
    <w:rsid w:val="00911114"/>
    <w:rsid w:val="00921D8C"/>
    <w:rsid w:val="0092477B"/>
    <w:rsid w:val="009278CA"/>
    <w:rsid w:val="009321B5"/>
    <w:rsid w:val="009468E2"/>
    <w:rsid w:val="00955441"/>
    <w:rsid w:val="00955836"/>
    <w:rsid w:val="00957D98"/>
    <w:rsid w:val="009603F8"/>
    <w:rsid w:val="009870DC"/>
    <w:rsid w:val="009964F5"/>
    <w:rsid w:val="009A6C7D"/>
    <w:rsid w:val="009B18BD"/>
    <w:rsid w:val="009C0799"/>
    <w:rsid w:val="009D3856"/>
    <w:rsid w:val="009E0554"/>
    <w:rsid w:val="009E4D49"/>
    <w:rsid w:val="00A02745"/>
    <w:rsid w:val="00A11C57"/>
    <w:rsid w:val="00A349A8"/>
    <w:rsid w:val="00A35CE6"/>
    <w:rsid w:val="00A47886"/>
    <w:rsid w:val="00A53E99"/>
    <w:rsid w:val="00A6235B"/>
    <w:rsid w:val="00A63AE6"/>
    <w:rsid w:val="00A64FBF"/>
    <w:rsid w:val="00A77F73"/>
    <w:rsid w:val="00A93478"/>
    <w:rsid w:val="00AA0D6B"/>
    <w:rsid w:val="00AA1189"/>
    <w:rsid w:val="00AB49F1"/>
    <w:rsid w:val="00AB4BF9"/>
    <w:rsid w:val="00B03BD1"/>
    <w:rsid w:val="00B05660"/>
    <w:rsid w:val="00B11EE5"/>
    <w:rsid w:val="00B204B5"/>
    <w:rsid w:val="00B24915"/>
    <w:rsid w:val="00B41F42"/>
    <w:rsid w:val="00B46A37"/>
    <w:rsid w:val="00B56DE5"/>
    <w:rsid w:val="00B666AC"/>
    <w:rsid w:val="00B74DFC"/>
    <w:rsid w:val="00BA11CD"/>
    <w:rsid w:val="00BB6D4C"/>
    <w:rsid w:val="00C00C43"/>
    <w:rsid w:val="00C05F8E"/>
    <w:rsid w:val="00C24E93"/>
    <w:rsid w:val="00C425FB"/>
    <w:rsid w:val="00C51C4E"/>
    <w:rsid w:val="00C53B16"/>
    <w:rsid w:val="00C61359"/>
    <w:rsid w:val="00C626D7"/>
    <w:rsid w:val="00C703B2"/>
    <w:rsid w:val="00C75F74"/>
    <w:rsid w:val="00C87372"/>
    <w:rsid w:val="00CA311B"/>
    <w:rsid w:val="00CA63F4"/>
    <w:rsid w:val="00CB3F61"/>
    <w:rsid w:val="00CC6DC0"/>
    <w:rsid w:val="00CE7012"/>
    <w:rsid w:val="00CE7957"/>
    <w:rsid w:val="00CF77A6"/>
    <w:rsid w:val="00D00C76"/>
    <w:rsid w:val="00D1097E"/>
    <w:rsid w:val="00D275F6"/>
    <w:rsid w:val="00D3445B"/>
    <w:rsid w:val="00D66486"/>
    <w:rsid w:val="00D752D4"/>
    <w:rsid w:val="00DB0A9D"/>
    <w:rsid w:val="00DB21C0"/>
    <w:rsid w:val="00DD4091"/>
    <w:rsid w:val="00DE6011"/>
    <w:rsid w:val="00DF1CBB"/>
    <w:rsid w:val="00E01E15"/>
    <w:rsid w:val="00E02A9D"/>
    <w:rsid w:val="00E072B7"/>
    <w:rsid w:val="00E14DA9"/>
    <w:rsid w:val="00E15212"/>
    <w:rsid w:val="00E27073"/>
    <w:rsid w:val="00E34CC1"/>
    <w:rsid w:val="00E3772A"/>
    <w:rsid w:val="00E526B7"/>
    <w:rsid w:val="00E769CD"/>
    <w:rsid w:val="00E842D2"/>
    <w:rsid w:val="00E879C5"/>
    <w:rsid w:val="00E93013"/>
    <w:rsid w:val="00E93021"/>
    <w:rsid w:val="00EB2727"/>
    <w:rsid w:val="00EB4F9B"/>
    <w:rsid w:val="00EC63E3"/>
    <w:rsid w:val="00EC6AD2"/>
    <w:rsid w:val="00ED2F34"/>
    <w:rsid w:val="00ED5FB0"/>
    <w:rsid w:val="00EE3E02"/>
    <w:rsid w:val="00F1276A"/>
    <w:rsid w:val="00F15F71"/>
    <w:rsid w:val="00F16677"/>
    <w:rsid w:val="00F27547"/>
    <w:rsid w:val="00F40111"/>
    <w:rsid w:val="00F4025E"/>
    <w:rsid w:val="00F41025"/>
    <w:rsid w:val="00F54EC3"/>
    <w:rsid w:val="00F573A8"/>
    <w:rsid w:val="00F60E44"/>
    <w:rsid w:val="00F74571"/>
    <w:rsid w:val="00F747BC"/>
    <w:rsid w:val="00F826AC"/>
    <w:rsid w:val="00F845BD"/>
    <w:rsid w:val="00F85C06"/>
    <w:rsid w:val="00F86666"/>
    <w:rsid w:val="00F92579"/>
    <w:rsid w:val="00FA0F0E"/>
    <w:rsid w:val="00FC2511"/>
    <w:rsid w:val="00FD1B33"/>
    <w:rsid w:val="00FD42D0"/>
    <w:rsid w:val="00FE1D6A"/>
    <w:rsid w:val="00FE347E"/>
    <w:rsid w:val="00FE3561"/>
    <w:rsid w:val="00FF1814"/>
    <w:rsid w:val="00FF4F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317B02E-2F23-4692-BA20-A108A9C8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paragraph" w:styleId="Titre5">
    <w:name w:val="heading 5"/>
    <w:basedOn w:val="Normal"/>
    <w:next w:val="Normal"/>
    <w:link w:val="Titre5Car"/>
    <w:uiPriority w:val="9"/>
    <w:semiHidden/>
    <w:unhideWhenUsed/>
    <w:qFormat/>
    <w:rsid w:val="00517C33"/>
    <w:pPr>
      <w:spacing w:before="240" w:after="60"/>
      <w:outlineLvl w:val="4"/>
    </w:pPr>
    <w:rPr>
      <w:rFonts w:eastAsia="Times New Roman"/>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aliases w:val="Footnote symbol"/>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 w:type="character" w:customStyle="1" w:styleId="Titre5Car">
    <w:name w:val="Titre 5 Car"/>
    <w:link w:val="Titre5"/>
    <w:uiPriority w:val="9"/>
    <w:semiHidden/>
    <w:rsid w:val="00517C33"/>
    <w:rPr>
      <w:rFonts w:ascii="Calibri" w:eastAsia="Times New Roman" w:hAnsi="Calibri" w:cs="Times New Roman"/>
      <w:b/>
      <w:bCs/>
      <w:i/>
      <w:iCs/>
      <w:sz w:val="26"/>
      <w:szCs w:val="26"/>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DP8207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8207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/sftpecos/Dossiers_parlementaires/8207/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599C72C-E506-470A-A386-1AE511AF66CE}">
  <ds:schemaRefs>
    <ds:schemaRef ds:uri="http://schemas.openxmlformats.org/officeDocument/2006/bibliography"/>
  </ds:schemaRefs>
</ds:datastoreItem>
</file>

<file path=customXml/itemProps2.xml><?xml version="1.0" encoding="utf-8"?>
<ds:datastoreItem xmlns:ds="http://schemas.openxmlformats.org/officeDocument/2006/customXml" ds:itemID="{FC6B1B70-A509-4A96-96DD-AA20708D8247}"/>
</file>

<file path=customXml/itemProps3.xml><?xml version="1.0" encoding="utf-8"?>
<ds:datastoreItem xmlns:ds="http://schemas.openxmlformats.org/officeDocument/2006/customXml" ds:itemID="{EBB8275A-3454-417B-A9E4-2C215D3CE55C}"/>
</file>

<file path=customXml/itemProps4.xml><?xml version="1.0" encoding="utf-8"?>
<ds:datastoreItem xmlns:ds="http://schemas.openxmlformats.org/officeDocument/2006/customXml" ds:itemID="{DAED1814-F187-4C5A-AB8B-F8AD77A9124F}"/>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2156</Characters>
  <Application>Microsoft Office Word</Application>
  <DocSecurity>4</DocSecurity>
  <Lines>17</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2019-11-08T08:17:00Z</cp:lastPrinted>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