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DB" w:rsidRPr="00FD41CB" w:rsidRDefault="004915B2" w:rsidP="00FD41CB">
      <w:pPr>
        <w:spacing w:after="0" w:line="240" w:lineRule="auto"/>
        <w:rPr>
          <w:rFonts w:ascii="Arial" w:hAnsi="Arial" w:cs="Arial"/>
          <w:b/>
          <w:bCs/>
        </w:rPr>
      </w:pPr>
      <w:bookmarkStart w:id="0" w:name="_GoBack"/>
      <w:bookmarkEnd w:id="0"/>
      <w:r w:rsidRPr="00FD41CB">
        <w:rPr>
          <w:rFonts w:ascii="Arial" w:hAnsi="Arial" w:cs="Arial"/>
          <w:b/>
          <w:bCs/>
        </w:rPr>
        <w:t xml:space="preserve">Projet de loi </w:t>
      </w:r>
      <w:r w:rsidR="003B65DB" w:rsidRPr="00FD41CB">
        <w:rPr>
          <w:rFonts w:ascii="Arial" w:hAnsi="Arial" w:cs="Arial"/>
          <w:b/>
          <w:bCs/>
        </w:rPr>
        <w:t>portant modification de :</w:t>
      </w:r>
    </w:p>
    <w:p w:rsidR="003B65DB" w:rsidRPr="00FD41CB" w:rsidRDefault="003B65DB" w:rsidP="00F6294C">
      <w:pPr>
        <w:spacing w:after="0" w:line="240" w:lineRule="auto"/>
        <w:ind w:left="567" w:hanging="567"/>
        <w:jc w:val="both"/>
        <w:rPr>
          <w:rFonts w:ascii="Arial" w:hAnsi="Arial" w:cs="Arial"/>
          <w:b/>
          <w:bCs/>
        </w:rPr>
      </w:pPr>
      <w:r w:rsidRPr="00FD41CB">
        <w:rPr>
          <w:rFonts w:ascii="Arial" w:hAnsi="Arial" w:cs="Arial"/>
          <w:b/>
          <w:bCs/>
        </w:rPr>
        <w:t xml:space="preserve">1° </w:t>
      </w:r>
      <w:r w:rsidRPr="00FD41CB">
        <w:rPr>
          <w:rFonts w:ascii="Arial" w:hAnsi="Arial" w:cs="Arial"/>
          <w:b/>
          <w:bCs/>
        </w:rPr>
        <w:tab/>
        <w:t>la loi modifiée du 15 juin 2004 relative à la société d’investissement en capital à risque (SICAR) ;</w:t>
      </w:r>
    </w:p>
    <w:p w:rsidR="003B65DB" w:rsidRPr="00FD41CB" w:rsidRDefault="003B65DB" w:rsidP="00F6294C">
      <w:pPr>
        <w:spacing w:after="0" w:line="240" w:lineRule="auto"/>
        <w:ind w:left="567" w:hanging="567"/>
        <w:jc w:val="both"/>
        <w:rPr>
          <w:rFonts w:ascii="Arial" w:hAnsi="Arial" w:cs="Arial"/>
          <w:b/>
          <w:bCs/>
        </w:rPr>
      </w:pPr>
      <w:r w:rsidRPr="00FD41CB">
        <w:rPr>
          <w:rFonts w:ascii="Arial" w:hAnsi="Arial" w:cs="Arial"/>
          <w:b/>
          <w:bCs/>
        </w:rPr>
        <w:t xml:space="preserve">2° </w:t>
      </w:r>
      <w:r w:rsidRPr="00FD41CB">
        <w:rPr>
          <w:rFonts w:ascii="Arial" w:hAnsi="Arial" w:cs="Arial"/>
          <w:b/>
          <w:bCs/>
        </w:rPr>
        <w:tab/>
        <w:t>la loi modifiée du 13 février 2007 relative aux fonds d’investissement spécialisés ;</w:t>
      </w:r>
    </w:p>
    <w:p w:rsidR="003B65DB" w:rsidRPr="00FD41CB" w:rsidRDefault="003B65DB" w:rsidP="00F6294C">
      <w:pPr>
        <w:spacing w:after="0" w:line="240" w:lineRule="auto"/>
        <w:ind w:left="567" w:hanging="567"/>
        <w:jc w:val="both"/>
        <w:rPr>
          <w:rFonts w:ascii="Arial" w:hAnsi="Arial" w:cs="Arial"/>
          <w:b/>
          <w:bCs/>
        </w:rPr>
      </w:pPr>
      <w:r w:rsidRPr="00FD41CB">
        <w:rPr>
          <w:rFonts w:ascii="Arial" w:hAnsi="Arial" w:cs="Arial"/>
          <w:b/>
          <w:bCs/>
        </w:rPr>
        <w:t xml:space="preserve">3° </w:t>
      </w:r>
      <w:r w:rsidRPr="00FD41CB">
        <w:rPr>
          <w:rFonts w:ascii="Arial" w:hAnsi="Arial" w:cs="Arial"/>
          <w:b/>
          <w:bCs/>
        </w:rPr>
        <w:tab/>
        <w:t>la loi modifiée du 17 décembre 2010 concernant les organismes de placement collectif ;</w:t>
      </w:r>
    </w:p>
    <w:p w:rsidR="003B65DB" w:rsidRPr="00FD41CB" w:rsidRDefault="003B65DB" w:rsidP="00F6294C">
      <w:pPr>
        <w:spacing w:after="0" w:line="240" w:lineRule="auto"/>
        <w:ind w:left="567" w:hanging="567"/>
        <w:jc w:val="both"/>
        <w:rPr>
          <w:rFonts w:ascii="Arial" w:hAnsi="Arial" w:cs="Arial"/>
          <w:b/>
          <w:bCs/>
        </w:rPr>
      </w:pPr>
      <w:r w:rsidRPr="00FD41CB">
        <w:rPr>
          <w:rFonts w:ascii="Arial" w:hAnsi="Arial" w:cs="Arial"/>
          <w:b/>
          <w:bCs/>
        </w:rPr>
        <w:t xml:space="preserve">4° </w:t>
      </w:r>
      <w:r w:rsidRPr="00FD41CB">
        <w:rPr>
          <w:rFonts w:ascii="Arial" w:hAnsi="Arial" w:cs="Arial"/>
          <w:b/>
          <w:bCs/>
        </w:rPr>
        <w:tab/>
        <w:t>la loi modifiée du 12 juillet 2013 relative aux gestionnaires de fonds d’investissement alternatifs ;</w:t>
      </w:r>
    </w:p>
    <w:p w:rsidR="0074384E" w:rsidRPr="00FD41CB" w:rsidRDefault="003B65DB" w:rsidP="00F6294C">
      <w:pPr>
        <w:spacing w:after="0" w:line="240" w:lineRule="auto"/>
        <w:ind w:left="567" w:hanging="567"/>
        <w:jc w:val="both"/>
        <w:rPr>
          <w:rFonts w:ascii="Arial" w:hAnsi="Arial" w:cs="Arial"/>
          <w:b/>
          <w:bCs/>
          <w:lang w:val="en-US"/>
        </w:rPr>
      </w:pPr>
      <w:r w:rsidRPr="00FD41CB">
        <w:rPr>
          <w:rFonts w:ascii="Arial" w:hAnsi="Arial" w:cs="Arial"/>
          <w:b/>
          <w:bCs/>
        </w:rPr>
        <w:t>5°</w:t>
      </w:r>
      <w:r w:rsidRPr="00FD41CB">
        <w:rPr>
          <w:rFonts w:ascii="Arial" w:hAnsi="Arial" w:cs="Arial"/>
          <w:b/>
          <w:bCs/>
        </w:rPr>
        <w:tab/>
        <w:t>la loi modifiée du 23 juillet 2016 relative aux fonds d'investissement alternatifs réservés</w:t>
      </w:r>
    </w:p>
    <w:p w:rsidR="00895247" w:rsidRPr="00821E10" w:rsidRDefault="00895247" w:rsidP="00F6294C">
      <w:pPr>
        <w:pStyle w:val="Default"/>
        <w:rPr>
          <w:rFonts w:ascii="Arial" w:eastAsia="Arial" w:hAnsi="Arial" w:cs="Arial"/>
          <w:sz w:val="22"/>
          <w:szCs w:val="22"/>
          <w:lang w:val="en-US"/>
        </w:rPr>
      </w:pPr>
    </w:p>
    <w:p w:rsidR="003B65DB" w:rsidRPr="003B65DB" w:rsidRDefault="003B65DB" w:rsidP="00F6294C">
      <w:pPr>
        <w:spacing w:after="0" w:line="240" w:lineRule="auto"/>
        <w:jc w:val="both"/>
        <w:rPr>
          <w:rFonts w:ascii="Arial" w:hAnsi="Arial" w:cs="Arial"/>
          <w:lang w:val="fr-CH"/>
        </w:rPr>
      </w:pPr>
      <w:r w:rsidRPr="003B65DB">
        <w:rPr>
          <w:rFonts w:ascii="Arial" w:hAnsi="Arial" w:cs="Arial"/>
          <w:lang w:val="fr-CH"/>
        </w:rPr>
        <w:t xml:space="preserve">La loi en projet a pour objet d’améliorer et de moderniser la </w:t>
      </w:r>
      <w:r w:rsidRPr="003B65DB">
        <w:rPr>
          <w:rFonts w:ascii="Arial" w:hAnsi="Arial" w:cs="Arial"/>
          <w:i/>
          <w:iCs/>
          <w:lang w:val="fr-CH"/>
        </w:rPr>
        <w:t>toolbox</w:t>
      </w:r>
      <w:r w:rsidRPr="003B65DB">
        <w:rPr>
          <w:rFonts w:ascii="Arial" w:hAnsi="Arial" w:cs="Arial"/>
          <w:lang w:val="fr-CH"/>
        </w:rPr>
        <w:t xml:space="preserve"> luxembourgeoise relative aux fonds d’investissement et d’accroître ainsi l’attractivité et la compétitivité de la place financière. En l’espèce, </w:t>
      </w:r>
      <w:r w:rsidR="00F6294C">
        <w:rPr>
          <w:rFonts w:ascii="Arial" w:hAnsi="Arial" w:cs="Arial"/>
          <w:lang w:val="fr-CH"/>
        </w:rPr>
        <w:t>elle</w:t>
      </w:r>
      <w:r w:rsidRPr="003B65DB">
        <w:rPr>
          <w:rFonts w:ascii="Arial" w:hAnsi="Arial" w:cs="Arial"/>
          <w:lang w:val="fr-CH"/>
        </w:rPr>
        <w:t xml:space="preserve"> propose de modifier de manière ponctuelle les cinq lois sectorielles relatives aux fonds d’investissement ou des gestionnaires de ceux-ci.</w:t>
      </w:r>
    </w:p>
    <w:p w:rsidR="003B65DB" w:rsidRDefault="003B65DB" w:rsidP="00F6294C">
      <w:pPr>
        <w:spacing w:after="0" w:line="240" w:lineRule="auto"/>
        <w:jc w:val="both"/>
        <w:rPr>
          <w:rFonts w:ascii="Arial" w:hAnsi="Arial" w:cs="Arial"/>
          <w:lang w:val="fr-CH"/>
        </w:rPr>
      </w:pPr>
    </w:p>
    <w:p w:rsidR="003B65DB" w:rsidRPr="003B65DB" w:rsidRDefault="003B65DB" w:rsidP="00F6294C">
      <w:pPr>
        <w:spacing w:after="0" w:line="240" w:lineRule="auto"/>
        <w:jc w:val="both"/>
        <w:rPr>
          <w:rFonts w:ascii="Arial" w:hAnsi="Arial" w:cs="Arial"/>
          <w:lang w:val="fr-CH"/>
        </w:rPr>
      </w:pPr>
      <w:r w:rsidRPr="003B65DB">
        <w:rPr>
          <w:rFonts w:ascii="Arial" w:hAnsi="Arial" w:cs="Arial"/>
          <w:lang w:val="fr-CH"/>
        </w:rPr>
        <w:t>Sont apportées ainsi des modifications à la loi modifiée du 15 juin 2004 relative à la société d’investissement en capital à risque (SICAR) (ci-après « loi SICAR »), la loi modifiée du 13 février 2007 relative aux fonds d’investissement spécialisés (ci-après « loi FIS »), la loi modifiée du 17 décembre 2010 concernant les organismes de placement collectif (ci-après, « loi OPC »), la loi modifiée du 12 juillet 2013 relative aux gestionnaires de fonds d’investissement alternatifs (ci-après « loi GFIA ») et la loi modifiée du 23 juillet 2016 relative aux fonds d’investissement alternatifs réservés (ci-après « loi FIAR »).</w:t>
      </w:r>
    </w:p>
    <w:p w:rsidR="003B65DB" w:rsidRDefault="003B65DB" w:rsidP="00F6294C">
      <w:pPr>
        <w:spacing w:after="0" w:line="240" w:lineRule="auto"/>
        <w:jc w:val="both"/>
        <w:rPr>
          <w:rFonts w:ascii="Arial" w:hAnsi="Arial" w:cs="Arial"/>
          <w:lang w:val="fr-CH"/>
        </w:rPr>
      </w:pPr>
    </w:p>
    <w:p w:rsidR="003B65DB" w:rsidRPr="003B65DB" w:rsidRDefault="003B65DB" w:rsidP="00F6294C">
      <w:pPr>
        <w:spacing w:after="0" w:line="240" w:lineRule="auto"/>
        <w:jc w:val="both"/>
        <w:rPr>
          <w:rFonts w:ascii="Arial" w:hAnsi="Arial" w:cs="Arial"/>
          <w:lang w:val="fr-CH"/>
        </w:rPr>
      </w:pPr>
      <w:r w:rsidRPr="003B65DB">
        <w:rPr>
          <w:rFonts w:ascii="Arial" w:hAnsi="Arial" w:cs="Arial"/>
          <w:lang w:val="fr-CH"/>
        </w:rPr>
        <w:t>Comme l’industrie des fonds d’investissement se trouve en constante évolution et tenant compte du fait des évolutions au sein des centres de fonds dans le monde entier, il est important que le Luxembourg s’adapte afin de garder sa position prééminente.</w:t>
      </w:r>
    </w:p>
    <w:p w:rsidR="003B65DB" w:rsidRPr="003B65DB" w:rsidRDefault="003B65DB" w:rsidP="00F6294C">
      <w:pPr>
        <w:spacing w:after="0" w:line="240" w:lineRule="auto"/>
        <w:jc w:val="both"/>
        <w:rPr>
          <w:rFonts w:ascii="Arial" w:hAnsi="Arial" w:cs="Arial"/>
          <w:lang w:val="fr-CH"/>
        </w:rPr>
      </w:pPr>
    </w:p>
    <w:p w:rsidR="003B65DB" w:rsidRPr="003B65DB" w:rsidRDefault="003B65DB" w:rsidP="00F6294C">
      <w:pPr>
        <w:spacing w:after="0" w:line="240" w:lineRule="auto"/>
        <w:jc w:val="both"/>
        <w:rPr>
          <w:rFonts w:ascii="Arial" w:hAnsi="Arial" w:cs="Arial"/>
          <w:lang w:val="fr-CH"/>
        </w:rPr>
      </w:pPr>
      <w:r w:rsidRPr="003B65DB">
        <w:rPr>
          <w:rFonts w:ascii="Arial" w:hAnsi="Arial" w:cs="Arial"/>
          <w:lang w:val="fr-CH"/>
        </w:rPr>
        <w:t xml:space="preserve">Il ne faut pas oublier non plus le rôle primordial des fonds d’investissement pour répondre aux besoins d’investissement à long terme de l’Union européenne. </w:t>
      </w:r>
    </w:p>
    <w:p w:rsidR="003B65DB" w:rsidRPr="003B65DB" w:rsidRDefault="003B65DB" w:rsidP="00F6294C">
      <w:pPr>
        <w:spacing w:after="0" w:line="240" w:lineRule="auto"/>
        <w:jc w:val="both"/>
        <w:rPr>
          <w:rFonts w:ascii="Arial" w:hAnsi="Arial" w:cs="Arial"/>
          <w:lang w:val="fr-CH"/>
        </w:rPr>
      </w:pPr>
    </w:p>
    <w:p w:rsidR="003B65DB" w:rsidRPr="003B65DB" w:rsidRDefault="003B65DB" w:rsidP="00F6294C">
      <w:pPr>
        <w:spacing w:after="0" w:line="240" w:lineRule="auto"/>
        <w:jc w:val="both"/>
        <w:rPr>
          <w:rFonts w:ascii="Arial" w:hAnsi="Arial" w:cs="Arial"/>
          <w:lang w:val="fr-CH"/>
        </w:rPr>
      </w:pPr>
      <w:r w:rsidRPr="003B65DB">
        <w:rPr>
          <w:rFonts w:ascii="Arial" w:hAnsi="Arial" w:cs="Arial"/>
          <w:lang w:val="fr-CH"/>
        </w:rPr>
        <w:t>Les modifications proposées par la loi en projet sous rubrique sont le fruit d’un travail important d’alignement et de mise en cohérence de ces cinq lois sectorielles, non seulement entre elles, mais également en relation avec d’autres lois nationales et des textes européens ainsi que la consécration dans la loi de la pratique administrative.</w:t>
      </w:r>
    </w:p>
    <w:p w:rsidR="003B65DB" w:rsidRPr="003B65DB" w:rsidRDefault="003B65DB" w:rsidP="00F6294C">
      <w:pPr>
        <w:spacing w:after="0" w:line="240" w:lineRule="auto"/>
        <w:jc w:val="both"/>
        <w:rPr>
          <w:rFonts w:ascii="Arial" w:hAnsi="Arial" w:cs="Arial"/>
          <w:lang w:val="fr-CH"/>
        </w:rPr>
      </w:pPr>
    </w:p>
    <w:p w:rsidR="003B65DB" w:rsidRPr="003B65DB" w:rsidRDefault="003B65DB" w:rsidP="00F6294C">
      <w:pPr>
        <w:spacing w:after="0" w:line="240" w:lineRule="auto"/>
        <w:jc w:val="both"/>
        <w:rPr>
          <w:rFonts w:ascii="Arial" w:hAnsi="Arial" w:cs="Arial"/>
          <w:lang w:val="fr-CH"/>
        </w:rPr>
      </w:pPr>
      <w:r w:rsidRPr="003B65DB">
        <w:rPr>
          <w:rFonts w:ascii="Arial" w:hAnsi="Arial" w:cs="Arial"/>
          <w:lang w:val="fr-CH"/>
        </w:rPr>
        <w:t>Les modifications principales proposées par la loi en projet sont les suivantes :</w:t>
      </w:r>
    </w:p>
    <w:p w:rsidR="003B65DB" w:rsidRPr="003B65DB" w:rsidRDefault="003B65DB" w:rsidP="00F6294C">
      <w:pPr>
        <w:numPr>
          <w:ilvl w:val="0"/>
          <w:numId w:val="2"/>
        </w:numPr>
        <w:spacing w:after="0" w:line="240" w:lineRule="auto"/>
        <w:contextualSpacing/>
        <w:jc w:val="both"/>
        <w:rPr>
          <w:rFonts w:ascii="Arial" w:hAnsi="Arial" w:cs="Arial"/>
          <w:lang w:val="fr-CH"/>
        </w:rPr>
      </w:pPr>
      <w:r w:rsidRPr="003B65DB">
        <w:rPr>
          <w:rFonts w:ascii="Arial" w:hAnsi="Arial" w:cs="Arial"/>
          <w:lang w:val="fr-CH"/>
        </w:rPr>
        <w:t>la modification de la définition du terme « investisseur averti », en l’occurrence l’abaissement du seuil d’investissement actuel de 125 000 euros au standard européen de 100 000 euros dans les lois SICAR, FIS et FIAR ;</w:t>
      </w:r>
    </w:p>
    <w:p w:rsidR="003B65DB" w:rsidRPr="003B65DB" w:rsidRDefault="003B65DB" w:rsidP="00F6294C">
      <w:pPr>
        <w:numPr>
          <w:ilvl w:val="0"/>
          <w:numId w:val="2"/>
        </w:numPr>
        <w:spacing w:after="0" w:line="240" w:lineRule="auto"/>
        <w:contextualSpacing/>
        <w:jc w:val="both"/>
        <w:rPr>
          <w:rFonts w:ascii="Arial" w:hAnsi="Arial" w:cs="Arial"/>
          <w:lang w:val="fr-CH"/>
        </w:rPr>
      </w:pPr>
      <w:r w:rsidRPr="003B65DB">
        <w:rPr>
          <w:rFonts w:ascii="Arial" w:hAnsi="Arial" w:cs="Arial"/>
          <w:lang w:val="fr-CH"/>
        </w:rPr>
        <w:t>le rallongement de la période de constitution du capital minimum à 12, respectivement 24 mois pour les fonds régis par les lois SICAR, FIS, OPC (partie II) et FIAR ;</w:t>
      </w:r>
    </w:p>
    <w:p w:rsidR="003B65DB" w:rsidRPr="003B65DB" w:rsidRDefault="003B65DB" w:rsidP="00F6294C">
      <w:pPr>
        <w:numPr>
          <w:ilvl w:val="0"/>
          <w:numId w:val="2"/>
        </w:numPr>
        <w:spacing w:after="0" w:line="240" w:lineRule="auto"/>
        <w:contextualSpacing/>
        <w:jc w:val="both"/>
        <w:rPr>
          <w:rFonts w:ascii="Arial" w:hAnsi="Arial" w:cs="Arial"/>
          <w:lang w:val="fr-CH"/>
        </w:rPr>
      </w:pPr>
      <w:r w:rsidRPr="003B65DB">
        <w:rPr>
          <w:rFonts w:ascii="Arial" w:hAnsi="Arial" w:cs="Arial"/>
          <w:lang w:val="fr-CH"/>
        </w:rPr>
        <w:t>la possibilité inscrite dans la loi OPC pour une SICAV (partie II) d’adopter, à côté de la société anonyme, d’autres formes de sociétés ;</w:t>
      </w:r>
    </w:p>
    <w:p w:rsidR="003B65DB" w:rsidRPr="003B65DB" w:rsidRDefault="003B65DB" w:rsidP="00F6294C">
      <w:pPr>
        <w:numPr>
          <w:ilvl w:val="0"/>
          <w:numId w:val="2"/>
        </w:numPr>
        <w:spacing w:after="0" w:line="240" w:lineRule="auto"/>
        <w:contextualSpacing/>
        <w:jc w:val="both"/>
        <w:rPr>
          <w:rFonts w:ascii="Arial" w:hAnsi="Arial" w:cs="Arial"/>
          <w:lang w:val="fr-CH"/>
        </w:rPr>
      </w:pPr>
      <w:r w:rsidRPr="003B65DB">
        <w:rPr>
          <w:rFonts w:ascii="Arial" w:hAnsi="Arial" w:cs="Arial"/>
          <w:lang w:val="fr-CH"/>
        </w:rPr>
        <w:t>l’introduction de la possibilité pour les gestionnaires de fonds d’investissement alternatifs de faire appel à des agents liés ainsi que des clarifications concernant la commercialisation des fonds d’investissement alternatifs au Luxembourg ;</w:t>
      </w:r>
    </w:p>
    <w:p w:rsidR="003B65DB" w:rsidRPr="003B65DB" w:rsidRDefault="003B65DB" w:rsidP="00F6294C">
      <w:pPr>
        <w:numPr>
          <w:ilvl w:val="0"/>
          <w:numId w:val="2"/>
        </w:numPr>
        <w:spacing w:after="0" w:line="240" w:lineRule="auto"/>
        <w:contextualSpacing/>
        <w:jc w:val="both"/>
        <w:rPr>
          <w:rFonts w:ascii="Arial" w:hAnsi="Arial" w:cs="Arial"/>
          <w:lang w:val="fr-CH"/>
        </w:rPr>
      </w:pPr>
      <w:r w:rsidRPr="003B65DB">
        <w:rPr>
          <w:rFonts w:ascii="Arial" w:hAnsi="Arial" w:cs="Arial"/>
          <w:lang w:val="fr-CH"/>
        </w:rPr>
        <w:t>l’application du régime de liquidation non judiciaire telle que prévue par la loi OPC non seulement aux organismes de placement collectif, mais dorénavant aussi aux sociétés de gestion ainsi qu’aux gestionnaires ;</w:t>
      </w:r>
    </w:p>
    <w:p w:rsidR="003B65DB" w:rsidRPr="003B65DB" w:rsidRDefault="003B65DB" w:rsidP="00F6294C">
      <w:pPr>
        <w:numPr>
          <w:ilvl w:val="0"/>
          <w:numId w:val="2"/>
        </w:numPr>
        <w:spacing w:after="0" w:line="240" w:lineRule="auto"/>
        <w:contextualSpacing/>
        <w:jc w:val="both"/>
        <w:rPr>
          <w:rFonts w:ascii="Arial" w:hAnsi="Arial" w:cs="Arial"/>
          <w:lang w:val="fr-CH"/>
        </w:rPr>
      </w:pPr>
      <w:r w:rsidRPr="003B65DB">
        <w:rPr>
          <w:rFonts w:ascii="Arial" w:hAnsi="Arial" w:cs="Arial"/>
          <w:lang w:val="fr-CH"/>
        </w:rPr>
        <w:t xml:space="preserve">la modernisation ciblée de la taxe d’abonnement afin de donner suite aux efforts de la Commission européenne qui a encouragé les États membres à mettre en place des </w:t>
      </w:r>
      <w:r w:rsidRPr="003B65DB">
        <w:rPr>
          <w:rFonts w:ascii="Arial" w:hAnsi="Arial" w:cs="Arial"/>
          <w:lang w:val="fr-CH"/>
        </w:rPr>
        <w:lastRenderedPageBreak/>
        <w:t>incitations fiscales nationales afin de soutenir l’émergence de nouveaux produits européens tels que les ELTIF et les PEPP. De surcroît, le régime applicable aux fonds monétaires sera aligné sur les standards européens. Les changements ne devraient pas entraîner de déchet fiscal significatif.</w:t>
      </w:r>
    </w:p>
    <w:p w:rsidR="00895247" w:rsidRPr="00F826AC" w:rsidRDefault="00895247" w:rsidP="00F6294C">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D4" w:rsidRDefault="00645AD4" w:rsidP="006E6CEA">
      <w:pPr>
        <w:spacing w:after="0" w:line="240" w:lineRule="auto"/>
      </w:pPr>
      <w:r>
        <w:separator/>
      </w:r>
    </w:p>
  </w:endnote>
  <w:endnote w:type="continuationSeparator" w:id="0">
    <w:p w:rsidR="00645AD4" w:rsidRDefault="00645AD4"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97" w:rsidRPr="00B666AC" w:rsidRDefault="006B6B97">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62236E" w:rsidRPr="0062236E">
      <w:rPr>
        <w:rFonts w:ascii="Arial" w:hAnsi="Arial" w:cs="Arial"/>
        <w:noProof/>
        <w:sz w:val="20"/>
        <w:szCs w:val="20"/>
        <w:lang w:val="fr-FR"/>
      </w:rPr>
      <w:t>1</w:t>
    </w:r>
    <w:r w:rsidRPr="00B666AC">
      <w:rPr>
        <w:rFonts w:ascii="Arial" w:hAnsi="Arial" w:cs="Arial"/>
        <w:sz w:val="20"/>
        <w:szCs w:val="20"/>
      </w:rPr>
      <w:fldChar w:fldCharType="end"/>
    </w:r>
  </w:p>
  <w:p w:rsidR="006B6B97" w:rsidRDefault="006B6B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D4" w:rsidRDefault="00645AD4" w:rsidP="006E6CEA">
      <w:pPr>
        <w:spacing w:after="0" w:line="240" w:lineRule="auto"/>
      </w:pPr>
      <w:r>
        <w:separator/>
      </w:r>
    </w:p>
  </w:footnote>
  <w:footnote w:type="continuationSeparator" w:id="0">
    <w:p w:rsidR="00645AD4" w:rsidRDefault="00645AD4"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DA9"/>
    <w:multiLevelType w:val="hybridMultilevel"/>
    <w:tmpl w:val="917A7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7E1B74"/>
    <w:multiLevelType w:val="multilevel"/>
    <w:tmpl w:val="68CE1ED2"/>
    <w:name w:val="A&amp;M Heading"/>
    <w:lvl w:ilvl="0">
      <w:start w:val="1"/>
      <w:numFmt w:val="decimal"/>
      <w:pStyle w:val="AMLevel1"/>
      <w:lvlText w:val="%1."/>
      <w:lvlJc w:val="left"/>
      <w:pPr>
        <w:ind w:left="851" w:hanging="851"/>
      </w:pPr>
      <w:rPr>
        <w:rFonts w:ascii="Arial" w:hAnsi="Arial" w:hint="default"/>
        <w:b w:val="0"/>
        <w:i w:val="0"/>
        <w:sz w:val="20"/>
      </w:rPr>
    </w:lvl>
    <w:lvl w:ilvl="1">
      <w:start w:val="1"/>
      <w:numFmt w:val="decimal"/>
      <w:pStyle w:val="AMLevel2"/>
      <w:lvlText w:val="%1.%2"/>
      <w:lvlJc w:val="left"/>
      <w:pPr>
        <w:ind w:left="851" w:hanging="851"/>
      </w:pPr>
      <w:rPr>
        <w:rFonts w:ascii="Arial" w:hAnsi="Arial" w:hint="default"/>
        <w:b w:val="0"/>
        <w:i w:val="0"/>
        <w:sz w:val="20"/>
      </w:rPr>
    </w:lvl>
    <w:lvl w:ilvl="2">
      <w:start w:val="1"/>
      <w:numFmt w:val="decimal"/>
      <w:pStyle w:val="AMLevel3"/>
      <w:lvlText w:val="%1.%2.%3"/>
      <w:lvlJc w:val="left"/>
      <w:pPr>
        <w:ind w:left="851" w:hanging="851"/>
      </w:pPr>
      <w:rPr>
        <w:rFonts w:ascii="Arial" w:hAnsi="Arial" w:hint="default"/>
        <w:b w:val="0"/>
        <w:i w:val="0"/>
        <w:sz w:val="20"/>
      </w:rPr>
    </w:lvl>
    <w:lvl w:ilvl="3">
      <w:start w:val="1"/>
      <w:numFmt w:val="lowerLetter"/>
      <w:pStyle w:val="AMLevel4"/>
      <w:lvlText w:val="(%4)"/>
      <w:lvlJc w:val="left"/>
      <w:pPr>
        <w:ind w:left="1728" w:hanging="877"/>
      </w:pPr>
      <w:rPr>
        <w:rFonts w:ascii="Arial" w:hAnsi="Arial" w:hint="default"/>
        <w:b w:val="0"/>
        <w:i w:val="0"/>
        <w:sz w:val="20"/>
      </w:rPr>
    </w:lvl>
    <w:lvl w:ilvl="4">
      <w:start w:val="1"/>
      <w:numFmt w:val="lowerRoman"/>
      <w:pStyle w:val="AMLevel5"/>
      <w:lvlText w:val="(%5)"/>
      <w:lvlJc w:val="left"/>
      <w:pPr>
        <w:ind w:left="2495" w:hanging="766"/>
      </w:pPr>
      <w:rPr>
        <w:rFonts w:ascii="Arial" w:hAnsi="Arial" w:hint="default"/>
        <w:b w:val="0"/>
        <w:i w:val="0"/>
        <w:sz w:val="20"/>
      </w:rPr>
    </w:lvl>
    <w:lvl w:ilvl="5">
      <w:start w:val="1"/>
      <w:numFmt w:val="lowerLetter"/>
      <w:pStyle w:val="AMLevel6"/>
      <w:lvlText w:val="%6."/>
      <w:lvlJc w:val="left"/>
      <w:pPr>
        <w:ind w:left="3345" w:hanging="850"/>
      </w:pPr>
      <w:rPr>
        <w:rFonts w:ascii="Arial" w:hAnsi="Arial" w:hint="default"/>
        <w:b w:val="0"/>
        <w:i w:val="0"/>
        <w:sz w:val="20"/>
      </w:rPr>
    </w:lvl>
    <w:lvl w:ilvl="6">
      <w:start w:val="1"/>
      <w:numFmt w:val="lowerRoman"/>
      <w:pStyle w:val="AMLevel7"/>
      <w:lvlText w:val="%7."/>
      <w:lvlJc w:val="left"/>
      <w:pPr>
        <w:ind w:left="4196" w:hanging="851"/>
      </w:pPr>
      <w:rPr>
        <w:rFonts w:ascii="Arial" w:hAnsi="Arial" w:hint="default"/>
        <w:b w:val="0"/>
        <w:i w:val="0"/>
        <w:sz w:val="2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3" w15:restartNumberingAfterBreak="0">
    <w:nsid w:val="5A1E73AB"/>
    <w:multiLevelType w:val="hybridMultilevel"/>
    <w:tmpl w:val="6DA0ECE0"/>
    <w:lvl w:ilvl="0" w:tplc="8E7E1E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C740733"/>
    <w:multiLevelType w:val="hybridMultilevel"/>
    <w:tmpl w:val="D55E340A"/>
    <w:lvl w:ilvl="0" w:tplc="DB3AE86A">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157E3"/>
    <w:rsid w:val="00015D5C"/>
    <w:rsid w:val="0002273C"/>
    <w:rsid w:val="00026ECB"/>
    <w:rsid w:val="00032612"/>
    <w:rsid w:val="000369A2"/>
    <w:rsid w:val="00070B45"/>
    <w:rsid w:val="000762ED"/>
    <w:rsid w:val="000864BE"/>
    <w:rsid w:val="00091107"/>
    <w:rsid w:val="000C1546"/>
    <w:rsid w:val="000C45E8"/>
    <w:rsid w:val="000E235A"/>
    <w:rsid w:val="000F1E3E"/>
    <w:rsid w:val="000F5978"/>
    <w:rsid w:val="0010111B"/>
    <w:rsid w:val="00105955"/>
    <w:rsid w:val="00124094"/>
    <w:rsid w:val="00124AF3"/>
    <w:rsid w:val="00132397"/>
    <w:rsid w:val="00140E59"/>
    <w:rsid w:val="00157C66"/>
    <w:rsid w:val="00160952"/>
    <w:rsid w:val="00165A5C"/>
    <w:rsid w:val="00170E30"/>
    <w:rsid w:val="0018433C"/>
    <w:rsid w:val="00186575"/>
    <w:rsid w:val="00192479"/>
    <w:rsid w:val="001A6A33"/>
    <w:rsid w:val="001B6A4B"/>
    <w:rsid w:val="001C2ED4"/>
    <w:rsid w:val="001C6FBC"/>
    <w:rsid w:val="0022485B"/>
    <w:rsid w:val="00255C2F"/>
    <w:rsid w:val="0027387E"/>
    <w:rsid w:val="002750A4"/>
    <w:rsid w:val="00280ED3"/>
    <w:rsid w:val="002851C5"/>
    <w:rsid w:val="00293237"/>
    <w:rsid w:val="002C7D3F"/>
    <w:rsid w:val="002D5CF2"/>
    <w:rsid w:val="002F0ADB"/>
    <w:rsid w:val="002F386A"/>
    <w:rsid w:val="002F3B16"/>
    <w:rsid w:val="00304830"/>
    <w:rsid w:val="0033142D"/>
    <w:rsid w:val="00332F7C"/>
    <w:rsid w:val="003349D4"/>
    <w:rsid w:val="003350D0"/>
    <w:rsid w:val="003378B4"/>
    <w:rsid w:val="003424D3"/>
    <w:rsid w:val="00355525"/>
    <w:rsid w:val="003B0E6B"/>
    <w:rsid w:val="003B65DB"/>
    <w:rsid w:val="003C230F"/>
    <w:rsid w:val="003C40C7"/>
    <w:rsid w:val="003D681E"/>
    <w:rsid w:val="003F2C1C"/>
    <w:rsid w:val="003F5E23"/>
    <w:rsid w:val="003F7A23"/>
    <w:rsid w:val="00426730"/>
    <w:rsid w:val="00426CEF"/>
    <w:rsid w:val="00443350"/>
    <w:rsid w:val="00443EA9"/>
    <w:rsid w:val="00445EE5"/>
    <w:rsid w:val="00457E34"/>
    <w:rsid w:val="00466FF0"/>
    <w:rsid w:val="004740F2"/>
    <w:rsid w:val="004826A7"/>
    <w:rsid w:val="004915B2"/>
    <w:rsid w:val="00495E9F"/>
    <w:rsid w:val="004A0459"/>
    <w:rsid w:val="004A1E95"/>
    <w:rsid w:val="004C6FDC"/>
    <w:rsid w:val="004D009A"/>
    <w:rsid w:val="00502BCC"/>
    <w:rsid w:val="005031C7"/>
    <w:rsid w:val="00504169"/>
    <w:rsid w:val="00507D1C"/>
    <w:rsid w:val="00507EA9"/>
    <w:rsid w:val="005173D1"/>
    <w:rsid w:val="00531429"/>
    <w:rsid w:val="005514EE"/>
    <w:rsid w:val="00553926"/>
    <w:rsid w:val="00585241"/>
    <w:rsid w:val="00595D88"/>
    <w:rsid w:val="005969DE"/>
    <w:rsid w:val="005A2AF3"/>
    <w:rsid w:val="005A5799"/>
    <w:rsid w:val="005A57B6"/>
    <w:rsid w:val="005B1EAF"/>
    <w:rsid w:val="005B5C56"/>
    <w:rsid w:val="005D3D76"/>
    <w:rsid w:val="005D6025"/>
    <w:rsid w:val="005E2CF4"/>
    <w:rsid w:val="005F1221"/>
    <w:rsid w:val="00612ABB"/>
    <w:rsid w:val="006206E0"/>
    <w:rsid w:val="0062236E"/>
    <w:rsid w:val="00630E07"/>
    <w:rsid w:val="00633300"/>
    <w:rsid w:val="0064032F"/>
    <w:rsid w:val="00643905"/>
    <w:rsid w:val="00645AD4"/>
    <w:rsid w:val="0066748F"/>
    <w:rsid w:val="006720BC"/>
    <w:rsid w:val="00680705"/>
    <w:rsid w:val="006829B8"/>
    <w:rsid w:val="006862A4"/>
    <w:rsid w:val="006B25FC"/>
    <w:rsid w:val="006B2F26"/>
    <w:rsid w:val="006B33BF"/>
    <w:rsid w:val="006B6B97"/>
    <w:rsid w:val="006D5C5B"/>
    <w:rsid w:val="006E6CEA"/>
    <w:rsid w:val="006F1000"/>
    <w:rsid w:val="0070037F"/>
    <w:rsid w:val="00705132"/>
    <w:rsid w:val="00716832"/>
    <w:rsid w:val="0072033C"/>
    <w:rsid w:val="007265A3"/>
    <w:rsid w:val="007344C3"/>
    <w:rsid w:val="0073537F"/>
    <w:rsid w:val="0074285D"/>
    <w:rsid w:val="0074384E"/>
    <w:rsid w:val="00752348"/>
    <w:rsid w:val="00772B00"/>
    <w:rsid w:val="0078608E"/>
    <w:rsid w:val="007942C7"/>
    <w:rsid w:val="007A5DA5"/>
    <w:rsid w:val="007C160B"/>
    <w:rsid w:val="007D57D1"/>
    <w:rsid w:val="00802625"/>
    <w:rsid w:val="00821E10"/>
    <w:rsid w:val="00825BD2"/>
    <w:rsid w:val="00835FB4"/>
    <w:rsid w:val="008555EA"/>
    <w:rsid w:val="00855600"/>
    <w:rsid w:val="00860053"/>
    <w:rsid w:val="00860178"/>
    <w:rsid w:val="00885ED7"/>
    <w:rsid w:val="00895247"/>
    <w:rsid w:val="008A6669"/>
    <w:rsid w:val="008B23FC"/>
    <w:rsid w:val="008C2635"/>
    <w:rsid w:val="008C4D3F"/>
    <w:rsid w:val="008D2E3F"/>
    <w:rsid w:val="008E02F7"/>
    <w:rsid w:val="008E2CEC"/>
    <w:rsid w:val="008E64E5"/>
    <w:rsid w:val="00921D8C"/>
    <w:rsid w:val="0092477B"/>
    <w:rsid w:val="009278CA"/>
    <w:rsid w:val="009321B5"/>
    <w:rsid w:val="009468E2"/>
    <w:rsid w:val="00955836"/>
    <w:rsid w:val="00957D98"/>
    <w:rsid w:val="009603F8"/>
    <w:rsid w:val="009870DC"/>
    <w:rsid w:val="009964F5"/>
    <w:rsid w:val="009A6C7D"/>
    <w:rsid w:val="009C0799"/>
    <w:rsid w:val="009D3856"/>
    <w:rsid w:val="009E0554"/>
    <w:rsid w:val="00A02745"/>
    <w:rsid w:val="00A11C57"/>
    <w:rsid w:val="00A349A8"/>
    <w:rsid w:val="00A35CE6"/>
    <w:rsid w:val="00A43126"/>
    <w:rsid w:val="00A53E99"/>
    <w:rsid w:val="00A573F7"/>
    <w:rsid w:val="00A63AE6"/>
    <w:rsid w:val="00A64FBF"/>
    <w:rsid w:val="00A77F73"/>
    <w:rsid w:val="00AA0D6B"/>
    <w:rsid w:val="00AA1189"/>
    <w:rsid w:val="00AB49F1"/>
    <w:rsid w:val="00AB4BF9"/>
    <w:rsid w:val="00B03BD1"/>
    <w:rsid w:val="00B05660"/>
    <w:rsid w:val="00B2031A"/>
    <w:rsid w:val="00B204B5"/>
    <w:rsid w:val="00B41F42"/>
    <w:rsid w:val="00B46A37"/>
    <w:rsid w:val="00B52EA4"/>
    <w:rsid w:val="00B56DE5"/>
    <w:rsid w:val="00B666AC"/>
    <w:rsid w:val="00BA11CD"/>
    <w:rsid w:val="00BB6D4C"/>
    <w:rsid w:val="00BE5AC7"/>
    <w:rsid w:val="00BF3235"/>
    <w:rsid w:val="00C00C43"/>
    <w:rsid w:val="00C05F8E"/>
    <w:rsid w:val="00C24E93"/>
    <w:rsid w:val="00C425FB"/>
    <w:rsid w:val="00C51C4E"/>
    <w:rsid w:val="00C53B16"/>
    <w:rsid w:val="00C61359"/>
    <w:rsid w:val="00C626D7"/>
    <w:rsid w:val="00C75F74"/>
    <w:rsid w:val="00C87372"/>
    <w:rsid w:val="00CA311B"/>
    <w:rsid w:val="00CE5229"/>
    <w:rsid w:val="00CE7012"/>
    <w:rsid w:val="00CE732F"/>
    <w:rsid w:val="00CE7957"/>
    <w:rsid w:val="00CF77A6"/>
    <w:rsid w:val="00D00C76"/>
    <w:rsid w:val="00D1097E"/>
    <w:rsid w:val="00D275F6"/>
    <w:rsid w:val="00D66486"/>
    <w:rsid w:val="00D752D4"/>
    <w:rsid w:val="00D94266"/>
    <w:rsid w:val="00DB0A9D"/>
    <w:rsid w:val="00DB1292"/>
    <w:rsid w:val="00DD4091"/>
    <w:rsid w:val="00DE6011"/>
    <w:rsid w:val="00DE7216"/>
    <w:rsid w:val="00DF1CBB"/>
    <w:rsid w:val="00E01E15"/>
    <w:rsid w:val="00E02A9D"/>
    <w:rsid w:val="00E072B7"/>
    <w:rsid w:val="00E14DA9"/>
    <w:rsid w:val="00E15212"/>
    <w:rsid w:val="00E27073"/>
    <w:rsid w:val="00E34CC1"/>
    <w:rsid w:val="00E3772A"/>
    <w:rsid w:val="00E526B7"/>
    <w:rsid w:val="00E769CD"/>
    <w:rsid w:val="00E842D2"/>
    <w:rsid w:val="00E879C5"/>
    <w:rsid w:val="00E93013"/>
    <w:rsid w:val="00E93021"/>
    <w:rsid w:val="00EB2727"/>
    <w:rsid w:val="00EB4F9B"/>
    <w:rsid w:val="00EC6AD2"/>
    <w:rsid w:val="00ED2F34"/>
    <w:rsid w:val="00ED5FB0"/>
    <w:rsid w:val="00EE3E02"/>
    <w:rsid w:val="00F1276A"/>
    <w:rsid w:val="00F15F71"/>
    <w:rsid w:val="00F16677"/>
    <w:rsid w:val="00F27547"/>
    <w:rsid w:val="00F40111"/>
    <w:rsid w:val="00F4025E"/>
    <w:rsid w:val="00F41025"/>
    <w:rsid w:val="00F60E44"/>
    <w:rsid w:val="00F6294C"/>
    <w:rsid w:val="00F74571"/>
    <w:rsid w:val="00F747BC"/>
    <w:rsid w:val="00F826AC"/>
    <w:rsid w:val="00F86666"/>
    <w:rsid w:val="00F92579"/>
    <w:rsid w:val="00FC2511"/>
    <w:rsid w:val="00FD1B33"/>
    <w:rsid w:val="00FD41CB"/>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B191E7-C082-4941-A577-57DD8153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1"/>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numbering" w:customStyle="1" w:styleId="Aucuneliste1">
    <w:name w:val="Aucune liste1"/>
    <w:next w:val="Aucuneliste"/>
    <w:uiPriority w:val="99"/>
    <w:semiHidden/>
    <w:unhideWhenUsed/>
    <w:rsid w:val="00DB1292"/>
  </w:style>
  <w:style w:type="character" w:styleId="Marquedecommentaire">
    <w:name w:val="annotation reference"/>
    <w:uiPriority w:val="99"/>
    <w:semiHidden/>
    <w:unhideWhenUsed/>
    <w:rsid w:val="00DB1292"/>
    <w:rPr>
      <w:sz w:val="16"/>
      <w:szCs w:val="16"/>
    </w:rPr>
  </w:style>
  <w:style w:type="paragraph" w:styleId="Textedebulles">
    <w:name w:val="Balloon Text"/>
    <w:basedOn w:val="Normal"/>
    <w:link w:val="TextedebullesCar"/>
    <w:uiPriority w:val="99"/>
    <w:semiHidden/>
    <w:unhideWhenUsed/>
    <w:rsid w:val="00DB1292"/>
    <w:pPr>
      <w:spacing w:after="0" w:line="240" w:lineRule="auto"/>
    </w:pPr>
    <w:rPr>
      <w:rFonts w:ascii="Segoe UI" w:hAnsi="Segoe UI" w:cs="Segoe UI"/>
      <w:sz w:val="18"/>
      <w:szCs w:val="18"/>
      <w:lang w:val="fr-FR"/>
    </w:rPr>
  </w:style>
  <w:style w:type="character" w:customStyle="1" w:styleId="TextedebullesCar">
    <w:name w:val="Texte de bulles Car"/>
    <w:link w:val="Textedebulles"/>
    <w:uiPriority w:val="99"/>
    <w:semiHidden/>
    <w:rsid w:val="00DB1292"/>
    <w:rPr>
      <w:rFonts w:ascii="Segoe UI" w:hAnsi="Segoe UI" w:cs="Segoe UI"/>
      <w:sz w:val="18"/>
      <w:szCs w:val="18"/>
      <w:lang w:eastAsia="en-US"/>
    </w:rPr>
  </w:style>
  <w:style w:type="paragraph" w:customStyle="1" w:styleId="Pa13">
    <w:name w:val="Pa13"/>
    <w:basedOn w:val="Normal"/>
    <w:next w:val="Normal"/>
    <w:uiPriority w:val="99"/>
    <w:rsid w:val="00DB1292"/>
    <w:pPr>
      <w:autoSpaceDE w:val="0"/>
      <w:autoSpaceDN w:val="0"/>
      <w:adjustRightInd w:val="0"/>
      <w:spacing w:after="0" w:line="201" w:lineRule="atLeast"/>
    </w:pPr>
    <w:rPr>
      <w:rFonts w:ascii="Times New Roman" w:hAnsi="Times New Roman"/>
      <w:sz w:val="24"/>
      <w:szCs w:val="24"/>
      <w:lang w:val="en-US"/>
    </w:rPr>
  </w:style>
  <w:style w:type="paragraph" w:styleId="Rvision">
    <w:name w:val="Revision"/>
    <w:hidden/>
    <w:uiPriority w:val="99"/>
    <w:semiHidden/>
    <w:rsid w:val="00DB1292"/>
    <w:rPr>
      <w:sz w:val="22"/>
      <w:szCs w:val="22"/>
      <w:lang w:val="fr-FR" w:eastAsia="en-US"/>
    </w:rPr>
  </w:style>
  <w:style w:type="character" w:customStyle="1" w:styleId="Lienhypertextesuivivisit1">
    <w:name w:val="Lien hypertexte suivi visité1"/>
    <w:uiPriority w:val="99"/>
    <w:semiHidden/>
    <w:unhideWhenUsed/>
    <w:rsid w:val="00DB1292"/>
    <w:rPr>
      <w:color w:val="954F72"/>
      <w:u w:val="single"/>
    </w:rPr>
  </w:style>
  <w:style w:type="paragraph" w:customStyle="1" w:styleId="AMNormalIndent1">
    <w:name w:val="A&amp;M Normal Indent 1"/>
    <w:qFormat/>
    <w:rsid w:val="00DB1292"/>
    <w:pPr>
      <w:spacing w:before="280" w:after="280" w:line="269" w:lineRule="auto"/>
      <w:ind w:left="851"/>
      <w:jc w:val="both"/>
    </w:pPr>
    <w:rPr>
      <w:rFonts w:ascii="Arial" w:eastAsia="Times New Roman" w:hAnsi="Arial"/>
      <w:lang w:eastAsia="fr-BE"/>
    </w:rPr>
  </w:style>
  <w:style w:type="paragraph" w:customStyle="1" w:styleId="AMLevel1">
    <w:name w:val="A&amp;M Level 1"/>
    <w:uiPriority w:val="9"/>
    <w:qFormat/>
    <w:rsid w:val="00DB1292"/>
    <w:pPr>
      <w:numPr>
        <w:numId w:val="3"/>
      </w:numPr>
      <w:spacing w:before="280" w:after="280" w:line="269" w:lineRule="auto"/>
      <w:jc w:val="both"/>
    </w:pPr>
    <w:rPr>
      <w:rFonts w:ascii="Arial" w:eastAsia="Times New Roman" w:hAnsi="Arial"/>
      <w:lang w:eastAsia="fr-BE"/>
    </w:rPr>
  </w:style>
  <w:style w:type="paragraph" w:customStyle="1" w:styleId="AMLevel2">
    <w:name w:val="A&amp;M Level 2"/>
    <w:uiPriority w:val="9"/>
    <w:qFormat/>
    <w:rsid w:val="00DB1292"/>
    <w:pPr>
      <w:numPr>
        <w:ilvl w:val="1"/>
        <w:numId w:val="3"/>
      </w:numPr>
      <w:spacing w:before="280" w:after="280" w:line="269" w:lineRule="auto"/>
      <w:jc w:val="both"/>
    </w:pPr>
    <w:rPr>
      <w:rFonts w:ascii="Arial" w:eastAsia="Times New Roman" w:hAnsi="Arial"/>
      <w:lang w:eastAsia="fr-BE"/>
    </w:rPr>
  </w:style>
  <w:style w:type="paragraph" w:customStyle="1" w:styleId="AMLevel3">
    <w:name w:val="A&amp;M Level 3"/>
    <w:uiPriority w:val="9"/>
    <w:qFormat/>
    <w:rsid w:val="00DB1292"/>
    <w:pPr>
      <w:numPr>
        <w:ilvl w:val="2"/>
        <w:numId w:val="3"/>
      </w:numPr>
      <w:spacing w:before="280" w:after="280" w:line="269" w:lineRule="auto"/>
      <w:jc w:val="both"/>
    </w:pPr>
    <w:rPr>
      <w:rFonts w:ascii="Arial" w:eastAsia="Times New Roman" w:hAnsi="Arial"/>
      <w:lang w:eastAsia="fr-BE"/>
    </w:rPr>
  </w:style>
  <w:style w:type="paragraph" w:customStyle="1" w:styleId="AMLevel4">
    <w:name w:val="A&amp;M Level 4"/>
    <w:uiPriority w:val="9"/>
    <w:qFormat/>
    <w:rsid w:val="00DB1292"/>
    <w:pPr>
      <w:numPr>
        <w:ilvl w:val="3"/>
        <w:numId w:val="3"/>
      </w:numPr>
      <w:spacing w:before="280" w:after="280" w:line="269" w:lineRule="auto"/>
      <w:jc w:val="both"/>
    </w:pPr>
    <w:rPr>
      <w:rFonts w:ascii="Arial" w:eastAsia="Times New Roman" w:hAnsi="Arial"/>
      <w:lang w:eastAsia="fr-BE"/>
    </w:rPr>
  </w:style>
  <w:style w:type="paragraph" w:customStyle="1" w:styleId="AMLevel5">
    <w:name w:val="A&amp;M Level 5"/>
    <w:uiPriority w:val="9"/>
    <w:qFormat/>
    <w:rsid w:val="00DB1292"/>
    <w:pPr>
      <w:numPr>
        <w:ilvl w:val="4"/>
        <w:numId w:val="3"/>
      </w:numPr>
      <w:spacing w:before="280" w:after="280" w:line="269" w:lineRule="auto"/>
      <w:jc w:val="both"/>
    </w:pPr>
    <w:rPr>
      <w:rFonts w:ascii="Arial" w:eastAsia="Times New Roman" w:hAnsi="Arial"/>
      <w:lang w:eastAsia="fr-BE"/>
    </w:rPr>
  </w:style>
  <w:style w:type="paragraph" w:customStyle="1" w:styleId="AMLevel6">
    <w:name w:val="A&amp;M Level 6"/>
    <w:uiPriority w:val="9"/>
    <w:qFormat/>
    <w:rsid w:val="00DB1292"/>
    <w:pPr>
      <w:numPr>
        <w:ilvl w:val="5"/>
        <w:numId w:val="3"/>
      </w:numPr>
      <w:spacing w:before="280" w:after="280" w:line="269" w:lineRule="auto"/>
      <w:jc w:val="both"/>
    </w:pPr>
    <w:rPr>
      <w:rFonts w:ascii="Arial" w:eastAsia="Times New Roman" w:hAnsi="Arial" w:cs="Arial"/>
      <w:lang w:eastAsia="fr-BE"/>
    </w:rPr>
  </w:style>
  <w:style w:type="paragraph" w:customStyle="1" w:styleId="AMLevel7">
    <w:name w:val="A&amp;M Level 7"/>
    <w:uiPriority w:val="9"/>
    <w:qFormat/>
    <w:rsid w:val="00DB1292"/>
    <w:pPr>
      <w:numPr>
        <w:ilvl w:val="6"/>
        <w:numId w:val="3"/>
      </w:numPr>
      <w:spacing w:before="280" w:after="280" w:line="269" w:lineRule="auto"/>
      <w:jc w:val="both"/>
    </w:pPr>
    <w:rPr>
      <w:rFonts w:ascii="Arial" w:eastAsia="Times New Roman" w:hAnsi="Arial"/>
      <w:lang w:eastAsia="fr-BE"/>
    </w:rPr>
  </w:style>
  <w:style w:type="paragraph" w:customStyle="1" w:styleId="AMNormal">
    <w:name w:val="A&amp;M Normal"/>
    <w:link w:val="AMNormalChar"/>
    <w:qFormat/>
    <w:rsid w:val="00DB1292"/>
    <w:pPr>
      <w:spacing w:before="280" w:after="280" w:line="269" w:lineRule="auto"/>
      <w:jc w:val="both"/>
    </w:pPr>
    <w:rPr>
      <w:rFonts w:ascii="Arial" w:eastAsia="Times New Roman" w:hAnsi="Arial"/>
      <w:bCs/>
      <w:lang w:eastAsia="fr-BE"/>
    </w:rPr>
  </w:style>
  <w:style w:type="character" w:customStyle="1" w:styleId="AMNormalChar">
    <w:name w:val="A&amp;M Normal Char"/>
    <w:link w:val="AMNormal"/>
    <w:rsid w:val="00DB1292"/>
    <w:rPr>
      <w:rFonts w:ascii="Arial" w:eastAsia="Times New Roman" w:hAnsi="Arial"/>
      <w:bCs/>
      <w:lang w:val="fr-LU" w:eastAsia="fr-BE"/>
    </w:rPr>
  </w:style>
  <w:style w:type="character" w:styleId="Lienhypertextesuivivisit">
    <w:name w:val="FollowedHyperlink"/>
    <w:uiPriority w:val="99"/>
    <w:semiHidden/>
    <w:unhideWhenUsed/>
    <w:rsid w:val="00DB12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6E0437-A34E-44F0-BE59-45FA38CE5B7F}">
  <ds:schemaRefs>
    <ds:schemaRef ds:uri="http://schemas.openxmlformats.org/officeDocument/2006/bibliography"/>
  </ds:schemaRefs>
</ds:datastoreItem>
</file>

<file path=customXml/itemProps2.xml><?xml version="1.0" encoding="utf-8"?>
<ds:datastoreItem xmlns:ds="http://schemas.openxmlformats.org/officeDocument/2006/customXml" ds:itemID="{0FC13A6A-C43B-4B7A-B115-555D4289C655}"/>
</file>

<file path=customXml/itemProps3.xml><?xml version="1.0" encoding="utf-8"?>
<ds:datastoreItem xmlns:ds="http://schemas.openxmlformats.org/officeDocument/2006/customXml" ds:itemID="{526CEE5F-B36C-4C99-9B15-15CE7D4B9CDD}"/>
</file>

<file path=customXml/itemProps4.xml><?xml version="1.0" encoding="utf-8"?>
<ds:datastoreItem xmlns:ds="http://schemas.openxmlformats.org/officeDocument/2006/customXml" ds:itemID="{E0C77A5C-F19F-464B-AF2C-FB31498CD79C}"/>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3213</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