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E5" w:rsidRPr="00B05C28" w:rsidRDefault="00B05C28" w:rsidP="00B05C28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B05C28">
        <w:rPr>
          <w:sz w:val="28"/>
          <w:szCs w:val="28"/>
          <w:u w:val="single"/>
        </w:rPr>
        <w:t>Résumé du projet de loi n°8179</w:t>
      </w:r>
    </w:p>
    <w:p w:rsidR="00B05C28" w:rsidRDefault="00B05C28"/>
    <w:p w:rsidR="00B05C28" w:rsidRPr="00B05C28" w:rsidRDefault="00B05C28" w:rsidP="00B05C28">
      <w:pPr>
        <w:rPr>
          <w:b w:val="0"/>
          <w:lang w:val="fr-FR"/>
        </w:rPr>
      </w:pPr>
      <w:r w:rsidRPr="00B05C28">
        <w:rPr>
          <w:b w:val="0"/>
          <w:lang w:val="fr-FR"/>
        </w:rPr>
        <w:t xml:space="preserve">Le paquet européen de protection des </w:t>
      </w:r>
      <w:r w:rsidRPr="00B05C28">
        <w:rPr>
          <w:b w:val="0"/>
          <w:iCs/>
          <w:lang w:val="fr-FR"/>
        </w:rPr>
        <w:t>données personnelles</w:t>
      </w:r>
      <w:r w:rsidRPr="00B05C28">
        <w:rPr>
          <w:b w:val="0"/>
          <w:lang w:val="fr-FR"/>
        </w:rPr>
        <w:t xml:space="preserve"> se compose d’un règlement, applicable depuis le 25 mai 2018, qui fixe le cadre général de la protection des données (RGPD), ainsi que la directive (UE) 2016/680 du Parlement européen et du Conseil du 27 avril 2016 relative à la protection des personnes physiques à l'égard du traitement des données à caractère personnel par les autorités compétentes à des fins de prévention et de détection des infractions pénales, d'enquêtes et de poursuites en la matière ou d'exécution de sanctions pénales, et à la libre circulation de ces données. Ce nouveau cadre légal établit un régime unique de protection des données en Europe. </w:t>
      </w:r>
    </w:p>
    <w:p w:rsidR="00B05C28" w:rsidRPr="00B05C28" w:rsidRDefault="00B05C28" w:rsidP="00B05C28">
      <w:pPr>
        <w:rPr>
          <w:b w:val="0"/>
          <w:lang w:val="fr-FR"/>
        </w:rPr>
      </w:pPr>
      <w:r w:rsidRPr="00B05C28">
        <w:rPr>
          <w:b w:val="0"/>
          <w:lang w:val="fr-FR"/>
        </w:rPr>
        <w:t>S’agissant du premier instrument qui adopte une approche globale en matière de protection des données dans le domaine répressif, la directive « </w:t>
      </w:r>
      <w:r w:rsidRPr="00B05C28">
        <w:rPr>
          <w:b w:val="0"/>
          <w:i/>
          <w:lang w:val="fr-FR"/>
        </w:rPr>
        <w:t>Police-Justice</w:t>
      </w:r>
      <w:r w:rsidRPr="00B05C28">
        <w:rPr>
          <w:b w:val="0"/>
          <w:lang w:val="fr-FR"/>
        </w:rPr>
        <w:t> » a été transposé en droit luxembourgeois par la loi du 1</w:t>
      </w:r>
      <w:r w:rsidRPr="00B05C28">
        <w:rPr>
          <w:b w:val="0"/>
          <w:vertAlign w:val="superscript"/>
          <w:lang w:val="fr-FR"/>
        </w:rPr>
        <w:t>ier</w:t>
      </w:r>
      <w:r w:rsidRPr="00B05C28">
        <w:rPr>
          <w:b w:val="0"/>
          <w:lang w:val="fr-FR"/>
        </w:rPr>
        <w:t xml:space="preserve"> août 2018 </w:t>
      </w:r>
      <w:r w:rsidRPr="00B05C28">
        <w:rPr>
          <w:b w:val="0"/>
          <w:iCs/>
          <w:lang w:val="fr-FR"/>
        </w:rPr>
        <w:t>relative à la protection des personnes physiques à l'égard du traitement des données à caractère personnel en matière pénale ainsi qu’en matière de sécurité nationale.</w:t>
      </w:r>
    </w:p>
    <w:p w:rsidR="00B05C28" w:rsidRPr="00B05C28" w:rsidRDefault="00B05C28" w:rsidP="00B05C28">
      <w:pPr>
        <w:rPr>
          <w:b w:val="0"/>
          <w:lang w:val="fr-FR"/>
        </w:rPr>
      </w:pPr>
      <w:r w:rsidRPr="00B05C28">
        <w:rPr>
          <w:b w:val="0"/>
          <w:lang w:val="fr-FR"/>
        </w:rPr>
        <w:t xml:space="preserve">La directive précitée s’applique dès lors aux traitements nationaux et transfrontières de données à caractère personnel effectués par les autorités compétentes à des fins de prévention et de détection des infractions pénales, d’enquêtes et de poursuites en la matière ou d’exécution des sanctions pénales, y compris la protection contre les menaces pour la sécurité publique et la prévention de telles menaces. </w:t>
      </w:r>
    </w:p>
    <w:p w:rsidR="00B05C28" w:rsidRPr="00B05C28" w:rsidRDefault="00B05C28" w:rsidP="00B05C28">
      <w:pPr>
        <w:rPr>
          <w:b w:val="0"/>
          <w:lang w:val="fr-FR"/>
        </w:rPr>
      </w:pPr>
      <w:r w:rsidRPr="00B05C28">
        <w:rPr>
          <w:b w:val="0"/>
          <w:lang w:val="fr-FR"/>
        </w:rPr>
        <w:t>La Commission européenne a procédé à un réexamen, en vertu de l’article 62, paragraphe 6, de la directive (UE) 2016/860 en matière de protection des données dans le domaine répressif, ayant abouti à une communication du 24 juin 2020 intitulée « </w:t>
      </w:r>
      <w:r w:rsidRPr="00B05C28">
        <w:rPr>
          <w:b w:val="0"/>
          <w:i/>
          <w:lang w:val="fr-FR"/>
        </w:rPr>
        <w:t>Marche à suivre en ce qui concerne la mise en conformité de l’acquis de l’ancien troisième pilier avec les règles en matière de protection des données</w:t>
      </w:r>
      <w:r w:rsidRPr="00B05C28">
        <w:rPr>
          <w:b w:val="0"/>
          <w:lang w:val="fr-FR"/>
        </w:rPr>
        <w:t xml:space="preserve"> ». Dans le cadre de cette finalité, la Commission a réexaminé les actes juridiques adoptés par l’Union, qui règlementent le traitement par les autorités compétentes à des fins répressives, afin d’évaluer la nécessité de les mettre en conformité avec la directive. </w:t>
      </w:r>
    </w:p>
    <w:p w:rsidR="00B05C28" w:rsidRPr="00B05C28" w:rsidRDefault="00B05C28" w:rsidP="00B05C28">
      <w:pPr>
        <w:rPr>
          <w:b w:val="0"/>
          <w:lang w:val="fr-FR"/>
        </w:rPr>
      </w:pPr>
      <w:r w:rsidRPr="00B05C28">
        <w:rPr>
          <w:b w:val="0"/>
          <w:lang w:val="fr-FR"/>
        </w:rPr>
        <w:t xml:space="preserve">Au total, la Commission a recensé 26 actes juridiques de l’Union relevant de l’exercice de réexamen. Sur ces 26 actes, la Commission est parvenue à la conclusion que 16 d’entre eux ne doivent pas être modifiés, alors que 10 d’entre eux devront être modifiés, dont entre autres la décision-cadre 2002/465/JAI du Conseil du 13 juin 2002 relative aux équipes commune d’enquête. </w:t>
      </w:r>
    </w:p>
    <w:p w:rsidR="00B05C28" w:rsidRPr="00B05C28" w:rsidRDefault="00B05C28" w:rsidP="00B05C28">
      <w:pPr>
        <w:rPr>
          <w:b w:val="0"/>
          <w:lang w:val="fr-FR"/>
        </w:rPr>
      </w:pPr>
      <w:r w:rsidRPr="00B05C28">
        <w:rPr>
          <w:b w:val="0"/>
          <w:lang w:val="fr-FR"/>
        </w:rPr>
        <w:t xml:space="preserve">Cette dernière précise les conditions de création d’une équipe commune d’enquête et contient une disposition spécifique relative au traitement d’informations pouvant contenir des données à caractère personnel obtenues par un membre ou un membre détaché d’une équipe commune d’enquête, prévoyant que ces informations peuvent être utilisées à d’autres fins, pour autant que cela ait été convenu par les Etats membres qui ont créé l’équipe. </w:t>
      </w:r>
    </w:p>
    <w:p w:rsidR="00B05C28" w:rsidRPr="00B05C28" w:rsidRDefault="00B05C28" w:rsidP="00B05C28">
      <w:pPr>
        <w:rPr>
          <w:b w:val="0"/>
          <w:lang w:val="fr-FR"/>
        </w:rPr>
      </w:pPr>
      <w:r w:rsidRPr="00B05C28">
        <w:rPr>
          <w:b w:val="0"/>
          <w:lang w:val="fr-FR"/>
        </w:rPr>
        <w:t xml:space="preserve">Par conséquent, la Commission a proposé une modification ciblée de la décision-cadre 2002/465/JAI, par le biais de la directive (UE) 2022/211 du Parlement européen et du Conseil du 16 février 2022 modifiant la décision-cadre 2002/465/JAI du Conseil en ce qui concerne sa mise en conformité avec les règles de l’Union relatives à la protection des données à caractère personnel. C’est d’ailleurs dans ce contexte que s'insère le présent projet de loi, qui vise à transposer la directive précitée et à modifier par conséquent la loi du 21 mars 2006 sur les équipes communes d’enquête. </w:t>
      </w:r>
    </w:p>
    <w:p w:rsidR="00B05C28" w:rsidRPr="00B05C28" w:rsidRDefault="00B05C28" w:rsidP="00B05C28">
      <w:pPr>
        <w:rPr>
          <w:b w:val="0"/>
          <w:lang w:val="fr-FR"/>
        </w:rPr>
      </w:pPr>
      <w:r w:rsidRPr="00B05C28">
        <w:rPr>
          <w:b w:val="0"/>
          <w:lang w:val="fr-FR"/>
        </w:rPr>
        <w:lastRenderedPageBreak/>
        <w:t>La loi du 21 mars 2006 « </w:t>
      </w:r>
      <w:r w:rsidRPr="00B05C28">
        <w:rPr>
          <w:b w:val="0"/>
          <w:i/>
          <w:lang w:val="fr-FR"/>
        </w:rPr>
        <w:t>vise [ainsi] à créer un cadre légal pour la constitution d’une équipe commune d’enquête et à transposer ainsi le contenu de la décision-cadre du Conseil du 13 juin 2002 relative aux équipes communes d’enquête.</w:t>
      </w:r>
      <w:r w:rsidRPr="00B05C28">
        <w:rPr>
          <w:b w:val="0"/>
          <w:vertAlign w:val="superscript"/>
          <w:lang w:val="en-US"/>
        </w:rPr>
        <w:footnoteReference w:id="1"/>
      </w:r>
      <w:r w:rsidRPr="00B05C28">
        <w:rPr>
          <w:b w:val="0"/>
          <w:lang w:val="fr-FR"/>
        </w:rPr>
        <w:t xml:space="preserve">» Depuis cette loi, le Grand-Duché de Luxembourg dispose d’un instrument juridiquement contraignant, qui permet de créer des équipes communes afin de lutter contre la criminalité internationale. </w:t>
      </w:r>
    </w:p>
    <w:p w:rsidR="00B05C28" w:rsidRPr="00B05C28" w:rsidRDefault="00B05C28">
      <w:pPr>
        <w:rPr>
          <w:b w:val="0"/>
        </w:rPr>
      </w:pPr>
    </w:p>
    <w:sectPr w:rsidR="00B05C28" w:rsidRPr="00B0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3A4" w:rsidRDefault="004453A4" w:rsidP="00B05C28">
      <w:pPr>
        <w:spacing w:after="0" w:line="240" w:lineRule="auto"/>
      </w:pPr>
      <w:r>
        <w:separator/>
      </w:r>
    </w:p>
  </w:endnote>
  <w:endnote w:type="continuationSeparator" w:id="0">
    <w:p w:rsidR="004453A4" w:rsidRDefault="004453A4" w:rsidP="00B0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3A4" w:rsidRDefault="004453A4" w:rsidP="00B05C28">
      <w:pPr>
        <w:spacing w:after="0" w:line="240" w:lineRule="auto"/>
      </w:pPr>
      <w:r>
        <w:separator/>
      </w:r>
    </w:p>
  </w:footnote>
  <w:footnote w:type="continuationSeparator" w:id="0">
    <w:p w:rsidR="004453A4" w:rsidRDefault="004453A4" w:rsidP="00B05C28">
      <w:pPr>
        <w:spacing w:after="0" w:line="240" w:lineRule="auto"/>
      </w:pPr>
      <w:r>
        <w:continuationSeparator/>
      </w:r>
    </w:p>
  </w:footnote>
  <w:footnote w:id="1">
    <w:p w:rsidR="00B05C28" w:rsidRPr="00B05C28" w:rsidRDefault="00B05C28" w:rsidP="00B05C28">
      <w:pPr>
        <w:pStyle w:val="Notedebasdepage"/>
      </w:pPr>
      <w:r>
        <w:rPr>
          <w:rStyle w:val="Appelnotedebasdep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Projet de loi n°5412 sur les équipes communes d’enquête : </w:t>
      </w:r>
      <w:hyperlink r:id="rId1" w:history="1">
        <w:r>
          <w:rPr>
            <w:rStyle w:val="Lienhypertexte"/>
            <w:rFonts w:ascii="Times New Roman" w:hAnsi="Times New Roman"/>
            <w:sz w:val="18"/>
            <w:szCs w:val="18"/>
          </w:rPr>
          <w:t>https://wdocs-pub.chd.lu/docs/exped/084/389/038838.pdf</w:t>
        </w:r>
      </w:hyperlink>
      <w:r>
        <w:rPr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C28"/>
    <w:rsid w:val="00035487"/>
    <w:rsid w:val="004453A4"/>
    <w:rsid w:val="00B05C28"/>
    <w:rsid w:val="00C4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AC7396-D0CD-4934-BB90-4129BB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b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B05C28"/>
    <w:rPr>
      <w:color w:val="0563C1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5C28"/>
    <w:pPr>
      <w:spacing w:after="0" w:line="240" w:lineRule="auto"/>
    </w:pPr>
    <w:rPr>
      <w:rFonts w:ascii="Calibri" w:hAnsi="Calibri" w:cs="Times New Roman"/>
      <w:b w:val="0"/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B05C28"/>
    <w:rPr>
      <w:rFonts w:ascii="Calibri" w:hAnsi="Calibri" w:cs="Times New Roman"/>
      <w:b/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B05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docs-pub.chd.lu/docs/exped/084/389/038838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DP8179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8179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/sftpecos/Dossiers_parlementaires/8179/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82529AE-DF28-44C0-9203-17F64ABED03D}"/>
</file>

<file path=customXml/itemProps2.xml><?xml version="1.0" encoding="utf-8"?>
<ds:datastoreItem xmlns:ds="http://schemas.openxmlformats.org/officeDocument/2006/customXml" ds:itemID="{19726961-113B-4467-AC32-D62282EF64CA}"/>
</file>

<file path=customXml/itemProps3.xml><?xml version="1.0" encoding="utf-8"?>
<ds:datastoreItem xmlns:ds="http://schemas.openxmlformats.org/officeDocument/2006/customXml" ds:itemID="{5AC4B44C-1EBA-4B59-BAAA-9D06FFB52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3399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Links>
    <vt:vector size="6" baseType="variant"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https://wdocs-pub.chd.lu/docs/exped/084/389/038838.pdf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Magda SANTOS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