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A1" w:rsidRDefault="007242A1" w:rsidP="007242A1">
      <w:pPr>
        <w:spacing w:after="0" w:line="240" w:lineRule="auto"/>
        <w:contextualSpacing/>
        <w:jc w:val="center"/>
        <w:rPr>
          <w:rFonts w:cs="Arial"/>
          <w:b/>
          <w:bCs/>
          <w:szCs w:val="22"/>
        </w:rPr>
      </w:pPr>
      <w:bookmarkStart w:id="0" w:name="_GoBack"/>
      <w:bookmarkEnd w:id="0"/>
      <w:r w:rsidRPr="007242A1">
        <w:rPr>
          <w:rFonts w:cs="Arial"/>
          <w:b/>
          <w:bCs/>
          <w:szCs w:val="22"/>
        </w:rPr>
        <w:t>Résumé du projet de loi N° 81</w:t>
      </w:r>
      <w:r>
        <w:rPr>
          <w:rFonts w:cs="Arial"/>
          <w:b/>
          <w:bCs/>
          <w:szCs w:val="22"/>
        </w:rPr>
        <w:t>37</w:t>
      </w:r>
    </w:p>
    <w:p w:rsidR="007242A1" w:rsidRPr="007242A1" w:rsidRDefault="007242A1" w:rsidP="007242A1">
      <w:pPr>
        <w:spacing w:after="0" w:line="240" w:lineRule="auto"/>
        <w:contextualSpacing/>
        <w:jc w:val="center"/>
        <w:rPr>
          <w:rFonts w:cs="Arial"/>
          <w:b/>
          <w:bCs/>
          <w:szCs w:val="22"/>
        </w:rPr>
      </w:pPr>
    </w:p>
    <w:p w:rsidR="007242A1" w:rsidRPr="007242A1" w:rsidRDefault="00403499" w:rsidP="007242A1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Le présent dispositif modifie l</w:t>
      </w:r>
      <w:r w:rsidR="007242A1" w:rsidRPr="007242A1">
        <w:rPr>
          <w:rFonts w:cs="Arial"/>
          <w:szCs w:val="22"/>
        </w:rPr>
        <w:t xml:space="preserve">a loi du 30 novembre 2022 relative à la concurrence </w:t>
      </w:r>
      <w:r>
        <w:rPr>
          <w:rFonts w:cs="Arial"/>
          <w:szCs w:val="22"/>
        </w:rPr>
        <w:t xml:space="preserve">qui a </w:t>
      </w:r>
      <w:r w:rsidR="007242A1" w:rsidRPr="007242A1">
        <w:rPr>
          <w:rFonts w:cs="Arial"/>
          <w:szCs w:val="22"/>
        </w:rPr>
        <w:t>transpos</w:t>
      </w:r>
      <w:r>
        <w:rPr>
          <w:rFonts w:cs="Arial"/>
          <w:szCs w:val="22"/>
        </w:rPr>
        <w:t>é</w:t>
      </w:r>
      <w:r w:rsidR="007242A1" w:rsidRPr="007242A1">
        <w:rPr>
          <w:rFonts w:cs="Arial"/>
          <w:szCs w:val="22"/>
        </w:rPr>
        <w:t xml:space="preserve"> en droit national la directive (UE)</w:t>
      </w:r>
      <w:r>
        <w:rPr>
          <w:rFonts w:cs="Arial"/>
          <w:szCs w:val="22"/>
        </w:rPr>
        <w:t xml:space="preserve"> </w:t>
      </w:r>
      <w:r w:rsidR="007242A1" w:rsidRPr="007242A1">
        <w:rPr>
          <w:rFonts w:cs="Arial"/>
          <w:szCs w:val="22"/>
        </w:rPr>
        <w:t xml:space="preserve">2019/1 du Parlement européen et du Conseil du 11 décembre 2018 visant à doter les autorités de concurrence des Etats membres des moyens de mettre en œuvre plus efficacement les règles de concurrence et à garantir le bon fonctionnement du marché intérieur. </w:t>
      </w:r>
    </w:p>
    <w:p w:rsidR="007242A1" w:rsidRPr="007242A1" w:rsidRDefault="007242A1" w:rsidP="007242A1">
      <w:pPr>
        <w:spacing w:after="0" w:line="240" w:lineRule="auto"/>
        <w:jc w:val="both"/>
        <w:rPr>
          <w:rFonts w:cs="Arial"/>
          <w:szCs w:val="22"/>
        </w:rPr>
      </w:pPr>
    </w:p>
    <w:p w:rsidR="00403499" w:rsidRDefault="00403499" w:rsidP="007242A1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Lors de </w:t>
      </w:r>
      <w:r w:rsidR="00DA1044">
        <w:rPr>
          <w:rFonts w:cs="Arial"/>
          <w:szCs w:val="22"/>
        </w:rPr>
        <w:t>ladite</w:t>
      </w:r>
      <w:r>
        <w:rPr>
          <w:rFonts w:cs="Arial"/>
          <w:szCs w:val="22"/>
        </w:rPr>
        <w:t xml:space="preserve"> transposition, les </w:t>
      </w:r>
      <w:r w:rsidR="007242A1" w:rsidRPr="007242A1">
        <w:rPr>
          <w:rFonts w:cs="Arial"/>
          <w:szCs w:val="22"/>
        </w:rPr>
        <w:t>article</w:t>
      </w:r>
      <w:r>
        <w:rPr>
          <w:rFonts w:cs="Arial"/>
          <w:szCs w:val="22"/>
        </w:rPr>
        <w:t>s</w:t>
      </w:r>
      <w:r w:rsidR="007242A1" w:rsidRPr="007242A1">
        <w:rPr>
          <w:rFonts w:cs="Arial"/>
          <w:szCs w:val="22"/>
        </w:rPr>
        <w:t xml:space="preserve"> 15, paragraphe 2</w:t>
      </w:r>
      <w:r>
        <w:rPr>
          <w:rFonts w:cs="Arial"/>
          <w:szCs w:val="22"/>
        </w:rPr>
        <w:t>,</w:t>
      </w:r>
      <w:r w:rsidR="007242A1" w:rsidRPr="007242A1">
        <w:rPr>
          <w:rFonts w:cs="Arial"/>
          <w:szCs w:val="22"/>
        </w:rPr>
        <w:t xml:space="preserve"> et 31, paragraphe 3, ont été omis</w:t>
      </w:r>
      <w:r>
        <w:rPr>
          <w:rFonts w:cs="Arial"/>
          <w:szCs w:val="22"/>
        </w:rPr>
        <w:t xml:space="preserve">. </w:t>
      </w:r>
      <w:r w:rsidR="007242A1" w:rsidRPr="007242A1">
        <w:rPr>
          <w:rFonts w:cs="Arial"/>
          <w:szCs w:val="22"/>
        </w:rPr>
        <w:t xml:space="preserve">Pour le gouvernement, </w:t>
      </w:r>
      <w:r w:rsidR="000A3069">
        <w:rPr>
          <w:rFonts w:cs="Arial"/>
          <w:szCs w:val="22"/>
        </w:rPr>
        <w:t>c</w:t>
      </w:r>
      <w:r w:rsidR="007242A1" w:rsidRPr="007242A1">
        <w:rPr>
          <w:rFonts w:cs="Arial"/>
          <w:szCs w:val="22"/>
        </w:rPr>
        <w:t>es dispositions ne doivent pas nécessairement être transposées en droit national</w:t>
      </w:r>
      <w:r w:rsidR="00CF09BC">
        <w:rPr>
          <w:rFonts w:cs="Arial"/>
          <w:szCs w:val="22"/>
        </w:rPr>
        <w:t>,</w:t>
      </w:r>
      <w:r w:rsidR="007242A1" w:rsidRPr="007242A1">
        <w:rPr>
          <w:rFonts w:cs="Arial"/>
          <w:szCs w:val="22"/>
        </w:rPr>
        <w:t xml:space="preserve"> étant donné qu’il s’agit ici d’obligations qui incombent à l’Etat membre et qui peuvent être interprétées comme ayant un effet direct. </w:t>
      </w:r>
    </w:p>
    <w:p w:rsidR="00403499" w:rsidRDefault="00403499" w:rsidP="007242A1">
      <w:pPr>
        <w:spacing w:after="0" w:line="240" w:lineRule="auto"/>
        <w:jc w:val="both"/>
        <w:rPr>
          <w:rFonts w:cs="Arial"/>
          <w:szCs w:val="22"/>
        </w:rPr>
      </w:pPr>
    </w:p>
    <w:p w:rsidR="007242A1" w:rsidRPr="007242A1" w:rsidRDefault="00DA1044" w:rsidP="007242A1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Or</w:t>
      </w:r>
      <w:r w:rsidR="007242A1" w:rsidRPr="007242A1">
        <w:rPr>
          <w:rFonts w:cs="Arial"/>
          <w:szCs w:val="22"/>
        </w:rPr>
        <w:t xml:space="preserve">, afin d’écarter toute marge d’interprétation </w:t>
      </w:r>
      <w:r w:rsidR="00403499">
        <w:rPr>
          <w:rFonts w:cs="Arial"/>
          <w:szCs w:val="22"/>
        </w:rPr>
        <w:t>et p</w:t>
      </w:r>
      <w:r w:rsidR="007242A1" w:rsidRPr="007242A1">
        <w:rPr>
          <w:rFonts w:cs="Arial"/>
          <w:szCs w:val="22"/>
        </w:rPr>
        <w:t>our éviter une éventuelle saisine de la Cour de Justice de l’Union européenne</w:t>
      </w:r>
      <w:r>
        <w:rPr>
          <w:rFonts w:cs="Arial"/>
          <w:szCs w:val="22"/>
        </w:rPr>
        <w:t xml:space="preserve">, il est proposé de compléter la loi précitée du </w:t>
      </w:r>
      <w:r w:rsidRPr="00DA1044">
        <w:rPr>
          <w:rFonts w:cs="Arial"/>
          <w:szCs w:val="22"/>
        </w:rPr>
        <w:t>30 novembre 2022</w:t>
      </w:r>
      <w:r>
        <w:rPr>
          <w:rFonts w:cs="Arial"/>
          <w:szCs w:val="22"/>
        </w:rPr>
        <w:t xml:space="preserve"> par ces deux dispositions. L</w:t>
      </w:r>
      <w:r w:rsidR="007242A1" w:rsidRPr="007242A1">
        <w:rPr>
          <w:rFonts w:cs="Arial"/>
          <w:szCs w:val="22"/>
        </w:rPr>
        <w:t xml:space="preserve">a Commission européenne </w:t>
      </w:r>
      <w:r>
        <w:rPr>
          <w:rFonts w:cs="Arial"/>
          <w:szCs w:val="22"/>
        </w:rPr>
        <w:t xml:space="preserve">saura ainsi </w:t>
      </w:r>
      <w:r w:rsidR="007242A1" w:rsidRPr="007242A1">
        <w:rPr>
          <w:rFonts w:cs="Arial"/>
          <w:szCs w:val="22"/>
        </w:rPr>
        <w:t>clôturer</w:t>
      </w:r>
      <w:r>
        <w:rPr>
          <w:rFonts w:cs="Arial"/>
          <w:szCs w:val="22"/>
        </w:rPr>
        <w:t xml:space="preserve"> </w:t>
      </w:r>
      <w:r w:rsidR="007242A1" w:rsidRPr="007242A1">
        <w:rPr>
          <w:rFonts w:cs="Arial"/>
          <w:szCs w:val="22"/>
        </w:rPr>
        <w:t xml:space="preserve">la procédure d’infraction en cours sans qu’elle n’ait à se prononcer par la voie officielle sur la nécessité ou non de transposer en droit national les </w:t>
      </w:r>
      <w:r>
        <w:rPr>
          <w:rFonts w:cs="Arial"/>
          <w:szCs w:val="22"/>
        </w:rPr>
        <w:t xml:space="preserve">paragraphes </w:t>
      </w:r>
      <w:r w:rsidR="007242A1" w:rsidRPr="007242A1">
        <w:rPr>
          <w:rFonts w:cs="Arial"/>
          <w:szCs w:val="22"/>
        </w:rPr>
        <w:t xml:space="preserve">dont question. </w:t>
      </w:r>
    </w:p>
    <w:p w:rsidR="007242A1" w:rsidRDefault="007242A1" w:rsidP="007242A1">
      <w:pPr>
        <w:spacing w:after="0" w:line="240" w:lineRule="auto"/>
        <w:jc w:val="both"/>
        <w:rPr>
          <w:rFonts w:cs="Arial"/>
          <w:szCs w:val="22"/>
        </w:rPr>
      </w:pPr>
    </w:p>
    <w:p w:rsidR="007242A1" w:rsidRDefault="007242A1" w:rsidP="007242A1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Il</w:t>
      </w:r>
      <w:r w:rsidRPr="007242A1">
        <w:rPr>
          <w:rFonts w:cs="Arial"/>
          <w:szCs w:val="22"/>
        </w:rPr>
        <w:t xml:space="preserve"> est profité de ce projet de loi pour permettre à l’Autorité de concurrence d</w:t>
      </w:r>
      <w:r w:rsidR="00DA1044">
        <w:rPr>
          <w:rFonts w:cs="Arial"/>
          <w:szCs w:val="22"/>
        </w:rPr>
        <w:t xml:space="preserve">e recourir </w:t>
      </w:r>
      <w:r w:rsidRPr="007242A1">
        <w:rPr>
          <w:rFonts w:cs="Arial"/>
          <w:szCs w:val="22"/>
        </w:rPr>
        <w:t xml:space="preserve">également </w:t>
      </w:r>
      <w:r w:rsidR="00DA1044">
        <w:rPr>
          <w:rFonts w:cs="Arial"/>
          <w:szCs w:val="22"/>
        </w:rPr>
        <w:t xml:space="preserve">à </w:t>
      </w:r>
      <w:r w:rsidRPr="007242A1">
        <w:rPr>
          <w:rFonts w:cs="Arial"/>
          <w:szCs w:val="22"/>
        </w:rPr>
        <w:t>la dénomination « Autorité de la concurrence du Grand-Duché de Luxembourg »</w:t>
      </w:r>
      <w:r>
        <w:rPr>
          <w:rFonts w:cs="Arial"/>
          <w:szCs w:val="22"/>
        </w:rPr>
        <w:t xml:space="preserve"> et pour éliminer un </w:t>
      </w:r>
      <w:r w:rsidRPr="007242A1">
        <w:rPr>
          <w:rFonts w:cs="Arial"/>
          <w:szCs w:val="22"/>
        </w:rPr>
        <w:t xml:space="preserve">doublon qui se trouve actuellement au niveau de l’article 69. </w:t>
      </w:r>
    </w:p>
    <w:p w:rsidR="00DA1044" w:rsidRDefault="00DA1044" w:rsidP="00DA1044">
      <w:pPr>
        <w:spacing w:after="0" w:line="24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*</w:t>
      </w:r>
    </w:p>
    <w:sectPr w:rsidR="00DA1044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2A1"/>
    <w:rsid w:val="000861F5"/>
    <w:rsid w:val="000A3069"/>
    <w:rsid w:val="00403499"/>
    <w:rsid w:val="007242A1"/>
    <w:rsid w:val="00790EF5"/>
    <w:rsid w:val="007D0123"/>
    <w:rsid w:val="007F3DEA"/>
    <w:rsid w:val="008E05EC"/>
    <w:rsid w:val="009029C8"/>
    <w:rsid w:val="00B424FD"/>
    <w:rsid w:val="00CF09BC"/>
    <w:rsid w:val="00D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CC8594-FEF7-4147-B616-0E6E2A2D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DP8137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8137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/sftpecos/Dossiers_parlementaires/8137/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EBB3AFA-5CEC-4181-B31F-6E49BAB2363B}"/>
</file>

<file path=customXml/itemProps2.xml><?xml version="1.0" encoding="utf-8"?>
<ds:datastoreItem xmlns:ds="http://schemas.openxmlformats.org/officeDocument/2006/customXml" ds:itemID="{2B6A0FAB-20D6-4EAC-A4F7-5428E490760B}"/>
</file>

<file path=customXml/itemProps3.xml><?xml version="1.0" encoding="utf-8"?>
<ds:datastoreItem xmlns:ds="http://schemas.openxmlformats.org/officeDocument/2006/customXml" ds:itemID="{0C418446-2D1D-4C98-84FF-EB1A7CBAE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