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73" w:rsidRPr="005F48A2" w:rsidRDefault="00A91C73" w:rsidP="00A91C73">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w:t>
      </w:r>
      <w:r>
        <w:rPr>
          <w:rFonts w:ascii="Arial" w:hAnsi="Arial" w:cs="Arial"/>
          <w:b/>
        </w:rPr>
        <w:t>112</w:t>
      </w:r>
    </w:p>
    <w:p w:rsidR="00A91C73" w:rsidRPr="002C1F61" w:rsidRDefault="00A91C73" w:rsidP="00A91C73">
      <w:pPr>
        <w:spacing w:after="0" w:line="240" w:lineRule="auto"/>
        <w:jc w:val="center"/>
        <w:rPr>
          <w:rFonts w:ascii="Arial" w:eastAsia="Times New Roman" w:hAnsi="Arial" w:cs="Arial"/>
          <w:lang w:eastAsia="fr-FR"/>
        </w:rPr>
      </w:pPr>
    </w:p>
    <w:p w:rsidR="00A91C73" w:rsidRDefault="00A91C73" w:rsidP="00A91C73">
      <w:pPr>
        <w:spacing w:after="0" w:line="240" w:lineRule="auto"/>
        <w:jc w:val="center"/>
      </w:pPr>
      <w:r>
        <w:rPr>
          <w:rFonts w:ascii="Arial" w:eastAsia="Times New Roman" w:hAnsi="Arial" w:cs="Arial"/>
          <w:bCs/>
          <w:lang w:eastAsia="fr-FR"/>
        </w:rPr>
        <w:t>CHAMBRE DES DEPUTES</w:t>
      </w:r>
    </w:p>
    <w:p w:rsidR="00A91C73" w:rsidRDefault="00A91C73" w:rsidP="00A91C73">
      <w:pPr>
        <w:spacing w:after="0" w:line="240" w:lineRule="auto"/>
        <w:jc w:val="center"/>
        <w:rPr>
          <w:rFonts w:ascii="Arial" w:eastAsia="Times New Roman" w:hAnsi="Arial" w:cs="Arial"/>
          <w:bCs/>
          <w:lang w:eastAsia="fr-FR"/>
        </w:rPr>
      </w:pPr>
    </w:p>
    <w:p w:rsidR="00A91C73" w:rsidRDefault="00A91C73" w:rsidP="00A91C73">
      <w:pPr>
        <w:spacing w:after="0" w:line="240" w:lineRule="auto"/>
        <w:jc w:val="center"/>
      </w:pPr>
      <w:r>
        <w:rPr>
          <w:rFonts w:ascii="Arial" w:eastAsia="Times New Roman" w:hAnsi="Arial" w:cs="Arial"/>
          <w:bCs/>
          <w:lang w:eastAsia="fr-FR"/>
        </w:rPr>
        <w:t>Session ordinaire 2022-2023</w:t>
      </w:r>
    </w:p>
    <w:p w:rsidR="00A91C73" w:rsidRPr="0073146E" w:rsidRDefault="00A91C73" w:rsidP="00A91C7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A91C73" w:rsidRPr="00083219" w:rsidRDefault="00A91C73" w:rsidP="00A91C73">
      <w:pPr>
        <w:spacing w:after="0" w:line="240" w:lineRule="auto"/>
        <w:jc w:val="both"/>
        <w:rPr>
          <w:rFonts w:ascii="Arial" w:eastAsia="Times New Roman" w:hAnsi="Arial" w:cs="Arial"/>
          <w:lang w:eastAsia="fr-FR"/>
        </w:rPr>
      </w:pPr>
    </w:p>
    <w:p w:rsidR="00A91C73" w:rsidRPr="00083219" w:rsidRDefault="00A91C73" w:rsidP="00A91C73">
      <w:pPr>
        <w:spacing w:after="0" w:line="240" w:lineRule="auto"/>
        <w:ind w:right="-108"/>
        <w:jc w:val="center"/>
        <w:rPr>
          <w:rFonts w:ascii="Arial" w:eastAsia="Times New Roman" w:hAnsi="Arial" w:cs="Arial"/>
          <w:lang w:eastAsia="fr-FR"/>
        </w:rPr>
      </w:pPr>
    </w:p>
    <w:p w:rsidR="00A91C73" w:rsidRDefault="00A91C73" w:rsidP="00A91C73">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A91C73" w:rsidRPr="00811F8A" w:rsidRDefault="00A91C73" w:rsidP="00A91C73">
      <w:pPr>
        <w:spacing w:after="0" w:line="240" w:lineRule="auto"/>
        <w:jc w:val="center"/>
        <w:rPr>
          <w:rFonts w:ascii="Arial" w:eastAsia="Times New Roman" w:hAnsi="Arial" w:cs="Arial"/>
          <w:color w:val="000000"/>
          <w:lang w:eastAsia="fr-FR"/>
        </w:rPr>
      </w:pPr>
    </w:p>
    <w:p w:rsidR="00A91C73" w:rsidRPr="004E1C4E" w:rsidRDefault="00A91C73" w:rsidP="00A91C73">
      <w:pPr>
        <w:spacing w:after="0" w:line="240" w:lineRule="auto"/>
        <w:jc w:val="center"/>
        <w:rPr>
          <w:rFonts w:ascii="Arial" w:eastAsia="Times New Roman" w:hAnsi="Arial" w:cs="Arial"/>
          <w:b/>
          <w:bCs/>
          <w:color w:val="000000"/>
          <w:sz w:val="24"/>
          <w:szCs w:val="24"/>
          <w:lang w:eastAsia="fr-FR"/>
        </w:rPr>
      </w:pPr>
      <w:r w:rsidRPr="004E1C4E">
        <w:rPr>
          <w:rFonts w:ascii="Arial" w:eastAsia="Times New Roman" w:hAnsi="Arial" w:cs="Arial"/>
          <w:b/>
          <w:bCs/>
          <w:color w:val="000000"/>
          <w:sz w:val="24"/>
          <w:szCs w:val="24"/>
          <w:lang w:eastAsia="fr-FR"/>
        </w:rPr>
        <w:t>modifiée du 14 février 1955</w:t>
      </w:r>
      <w:r>
        <w:rPr>
          <w:rFonts w:ascii="Arial" w:eastAsia="Times New Roman" w:hAnsi="Arial" w:cs="Arial"/>
          <w:b/>
          <w:bCs/>
          <w:color w:val="000000"/>
          <w:sz w:val="24"/>
          <w:szCs w:val="24"/>
          <w:lang w:eastAsia="fr-FR"/>
        </w:rPr>
        <w:t xml:space="preserve"> </w:t>
      </w:r>
      <w:r w:rsidRPr="004E1C4E">
        <w:rPr>
          <w:rFonts w:ascii="Arial" w:eastAsia="Times New Roman" w:hAnsi="Arial" w:cs="Arial"/>
          <w:b/>
          <w:bCs/>
          <w:color w:val="000000"/>
          <w:sz w:val="24"/>
          <w:szCs w:val="24"/>
          <w:lang w:eastAsia="fr-FR"/>
        </w:rPr>
        <w:t>concernant la réglementation de la circulation</w:t>
      </w:r>
      <w:r>
        <w:rPr>
          <w:rFonts w:ascii="Arial" w:eastAsia="Times New Roman" w:hAnsi="Arial" w:cs="Arial"/>
          <w:b/>
          <w:bCs/>
          <w:color w:val="000000"/>
          <w:sz w:val="24"/>
          <w:szCs w:val="24"/>
          <w:lang w:eastAsia="fr-FR"/>
        </w:rPr>
        <w:t xml:space="preserve"> </w:t>
      </w:r>
      <w:r w:rsidRPr="004E1C4E">
        <w:rPr>
          <w:rFonts w:ascii="Arial" w:eastAsia="Times New Roman" w:hAnsi="Arial" w:cs="Arial"/>
          <w:b/>
          <w:bCs/>
          <w:color w:val="000000"/>
          <w:sz w:val="24"/>
          <w:szCs w:val="24"/>
          <w:lang w:eastAsia="fr-FR"/>
        </w:rPr>
        <w:t>sur toutes les voies publiques</w:t>
      </w:r>
    </w:p>
    <w:p w:rsidR="00A91C73" w:rsidRPr="004E1C4E" w:rsidRDefault="00A91C73" w:rsidP="00A91C73">
      <w:pPr>
        <w:spacing w:after="0" w:line="240" w:lineRule="auto"/>
        <w:jc w:val="center"/>
        <w:rPr>
          <w:rFonts w:ascii="Arial" w:eastAsia="Times New Roman" w:hAnsi="Arial" w:cs="Arial"/>
          <w:b/>
          <w:bCs/>
          <w:lang w:val="fr-FR" w:eastAsia="fr-FR"/>
        </w:rPr>
      </w:pPr>
    </w:p>
    <w:p w:rsidR="00A91C73" w:rsidRPr="00783A16" w:rsidRDefault="00A91C73" w:rsidP="00A91C73">
      <w:pPr>
        <w:spacing w:after="0" w:line="240" w:lineRule="auto"/>
        <w:jc w:val="center"/>
        <w:rPr>
          <w:rFonts w:ascii="Arial" w:eastAsia="Times New Roman" w:hAnsi="Arial" w:cs="Arial"/>
          <w:lang w:val="fr-FR" w:eastAsia="fr-FR"/>
        </w:rPr>
      </w:pPr>
    </w:p>
    <w:p w:rsidR="00A91C73" w:rsidRPr="002847C3" w:rsidRDefault="00A91C73" w:rsidP="00A91C73">
      <w:pPr>
        <w:spacing w:after="120" w:line="240" w:lineRule="auto"/>
        <w:jc w:val="center"/>
        <w:rPr>
          <w:rFonts w:ascii="Arial" w:hAnsi="Arial" w:cs="Arial"/>
          <w:b/>
          <w:bCs/>
          <w:sz w:val="24"/>
          <w:szCs w:val="24"/>
        </w:rPr>
      </w:pPr>
      <w:r w:rsidRPr="00811F8A">
        <w:rPr>
          <w:rFonts w:ascii="Arial" w:eastAsia="Times New Roman" w:hAnsi="Arial" w:cs="Arial"/>
          <w:b/>
          <w:lang w:eastAsia="fr-FR"/>
        </w:rPr>
        <w:t>R</w:t>
      </w:r>
      <w:r>
        <w:rPr>
          <w:rFonts w:ascii="Arial" w:eastAsia="Times New Roman" w:hAnsi="Arial" w:cs="Arial"/>
          <w:b/>
          <w:lang w:eastAsia="fr-FR"/>
        </w:rPr>
        <w:t>ESUME</w:t>
      </w:r>
    </w:p>
    <w:p w:rsidR="00A91C73" w:rsidRPr="002847C3" w:rsidRDefault="00A91C73" w:rsidP="00A91C73">
      <w:pPr>
        <w:spacing w:after="0" w:line="240" w:lineRule="auto"/>
        <w:jc w:val="both"/>
        <w:rPr>
          <w:rFonts w:ascii="Arial" w:hAnsi="Arial" w:cs="Arial"/>
        </w:rPr>
      </w:pPr>
    </w:p>
    <w:p w:rsidR="00A91C73" w:rsidRPr="00B4028F" w:rsidRDefault="00A91C73" w:rsidP="00A91C73">
      <w:pPr>
        <w:snapToGrid w:val="0"/>
        <w:spacing w:after="0" w:line="240" w:lineRule="auto"/>
        <w:jc w:val="both"/>
        <w:rPr>
          <w:rFonts w:ascii="Arial" w:eastAsia="Songti SC" w:hAnsi="Arial" w:cs="Arial"/>
          <w:kern w:val="2"/>
          <w:sz w:val="24"/>
          <w:szCs w:val="24"/>
          <w:lang w:val="fr-CH" w:bidi="hi-IN"/>
        </w:rPr>
      </w:pPr>
      <w:r w:rsidRPr="00B4028F">
        <w:rPr>
          <w:rFonts w:ascii="Arial" w:eastAsia="Songti SC" w:hAnsi="Arial" w:cs="Arial" w:hint="cs"/>
          <w:kern w:val="2"/>
          <w:sz w:val="24"/>
          <w:szCs w:val="24"/>
          <w:lang w:val="fr-CH" w:bidi="hi-IN"/>
        </w:rPr>
        <w:t xml:space="preserve">Le projet de loi à article unique vise à compléter la </w:t>
      </w:r>
      <w:r w:rsidRPr="00B4028F">
        <w:rPr>
          <w:rFonts w:ascii="Arial" w:eastAsia="Songti SC" w:hAnsi="Arial" w:cs="Arial" w:hint="cs"/>
          <w:kern w:val="2"/>
          <w:sz w:val="24"/>
          <w:szCs w:val="24"/>
          <w:lang w:val="fr-FR" w:bidi="hi-IN"/>
        </w:rPr>
        <w:t xml:space="preserve">loi modifiée du 14 février 1955 concernant la règlementation de la circulation sur toutes les voies publiques </w:t>
      </w:r>
      <w:r w:rsidRPr="00B4028F">
        <w:rPr>
          <w:rFonts w:ascii="Arial" w:eastAsia="Songti SC" w:hAnsi="Arial" w:cs="Arial" w:hint="cs"/>
          <w:kern w:val="2"/>
          <w:sz w:val="24"/>
          <w:szCs w:val="24"/>
          <w:lang w:val="fr-CH" w:bidi="hi-IN"/>
        </w:rPr>
        <w:t>en y insérant à</w:t>
      </w:r>
      <w:r w:rsidRPr="00B4028F">
        <w:rPr>
          <w:rFonts w:ascii="Arial" w:eastAsia="Songti SC" w:hAnsi="Arial" w:cs="Arial" w:hint="cs"/>
          <w:kern w:val="2"/>
          <w:sz w:val="24"/>
          <w:szCs w:val="24"/>
          <w:lang w:val="fr-FR" w:bidi="hi-IN"/>
        </w:rPr>
        <w:t xml:space="preserve"> l’article 4</w:t>
      </w:r>
      <w:r w:rsidRPr="00B4028F">
        <w:rPr>
          <w:rFonts w:ascii="Arial" w:eastAsia="Songti SC" w:hAnsi="Arial" w:cs="Arial" w:hint="cs"/>
          <w:i/>
          <w:iCs/>
          <w:kern w:val="2"/>
          <w:sz w:val="24"/>
          <w:szCs w:val="24"/>
          <w:lang w:val="fr-FR" w:bidi="hi-IN"/>
        </w:rPr>
        <w:t>bis</w:t>
      </w:r>
      <w:r w:rsidRPr="00B4028F">
        <w:rPr>
          <w:rFonts w:ascii="Arial" w:eastAsia="Songti SC" w:hAnsi="Arial" w:cs="Arial" w:hint="cs"/>
          <w:kern w:val="2"/>
          <w:sz w:val="24"/>
          <w:szCs w:val="24"/>
          <w:lang w:val="fr-FR" w:bidi="hi-IN"/>
        </w:rPr>
        <w:t>, paragraphe 1</w:t>
      </w:r>
      <w:r w:rsidRPr="00B4028F">
        <w:rPr>
          <w:rFonts w:ascii="Arial" w:eastAsia="Songti SC" w:hAnsi="Arial" w:cs="Arial" w:hint="cs"/>
          <w:kern w:val="2"/>
          <w:sz w:val="24"/>
          <w:szCs w:val="24"/>
          <w:vertAlign w:val="superscript"/>
          <w:lang w:val="fr-FR" w:bidi="hi-IN"/>
        </w:rPr>
        <w:t>er</w:t>
      </w:r>
      <w:r w:rsidRPr="00B4028F">
        <w:rPr>
          <w:rFonts w:ascii="Arial" w:eastAsia="Songti SC" w:hAnsi="Arial" w:cs="Arial" w:hint="cs"/>
          <w:kern w:val="2"/>
          <w:sz w:val="24"/>
          <w:szCs w:val="24"/>
          <w:lang w:val="fr-FR" w:bidi="hi-IN"/>
        </w:rPr>
        <w:t xml:space="preserve"> - ayant trait au</w:t>
      </w:r>
      <w:r w:rsidRPr="00B4028F">
        <w:rPr>
          <w:rFonts w:ascii="Arial" w:eastAsia="Songti SC" w:hAnsi="Arial" w:cs="Arial" w:hint="cs"/>
          <w:kern w:val="2"/>
          <w:sz w:val="24"/>
          <w:szCs w:val="24"/>
          <w:lang w:val="fr-CH" w:bidi="hi-IN"/>
        </w:rPr>
        <w:t xml:space="preserve"> </w:t>
      </w:r>
      <w:r w:rsidRPr="00B4028F">
        <w:rPr>
          <w:rFonts w:ascii="Arial" w:eastAsia="Songti SC" w:hAnsi="Arial" w:cs="Arial" w:hint="cs"/>
          <w:kern w:val="2"/>
          <w:sz w:val="24"/>
          <w:szCs w:val="24"/>
          <w:lang w:val="fr-FR" w:bidi="hi-IN"/>
        </w:rPr>
        <w:t>contrôle technique périodique des véhicules - sept nouveaux alinéas à la suite du troisième alinéa</w:t>
      </w:r>
      <w:r w:rsidRPr="00B4028F">
        <w:rPr>
          <w:rFonts w:ascii="Arial" w:eastAsia="Songti SC" w:hAnsi="Arial" w:cs="Arial" w:hint="cs"/>
          <w:kern w:val="2"/>
          <w:sz w:val="24"/>
          <w:szCs w:val="24"/>
          <w:lang w:val="fr-CH" w:bidi="hi-IN"/>
        </w:rPr>
        <w:t xml:space="preserve">. </w:t>
      </w:r>
    </w:p>
    <w:p w:rsidR="00A91C73" w:rsidRPr="00B4028F" w:rsidRDefault="00A91C73" w:rsidP="00A91C73">
      <w:pPr>
        <w:snapToGrid w:val="0"/>
        <w:spacing w:after="0" w:line="240" w:lineRule="auto"/>
        <w:jc w:val="both"/>
        <w:rPr>
          <w:rFonts w:ascii="Arial" w:eastAsia="Songti SC" w:hAnsi="Arial" w:cs="Arial"/>
          <w:kern w:val="2"/>
          <w:sz w:val="24"/>
          <w:szCs w:val="24"/>
          <w:lang w:val="fr-CH" w:bidi="hi-IN"/>
        </w:rPr>
      </w:pPr>
    </w:p>
    <w:p w:rsidR="00A91C73" w:rsidRPr="00B4028F" w:rsidRDefault="00A91C73" w:rsidP="00A91C73">
      <w:pPr>
        <w:snapToGrid w:val="0"/>
        <w:spacing w:after="120" w:line="240" w:lineRule="auto"/>
        <w:jc w:val="both"/>
        <w:rPr>
          <w:rFonts w:ascii="Arial" w:eastAsia="Songti SC" w:hAnsi="Arial" w:cs="Arial"/>
          <w:kern w:val="2"/>
          <w:sz w:val="24"/>
          <w:szCs w:val="24"/>
          <w:lang w:val="fr-CH" w:bidi="hi-IN"/>
        </w:rPr>
      </w:pPr>
      <w:r w:rsidRPr="00B4028F">
        <w:rPr>
          <w:rFonts w:ascii="Arial" w:eastAsia="Songti SC" w:hAnsi="Arial" w:cs="Arial" w:hint="cs"/>
          <w:kern w:val="2"/>
          <w:sz w:val="24"/>
          <w:szCs w:val="24"/>
          <w:lang w:val="fr-CH" w:bidi="hi-IN"/>
        </w:rPr>
        <w:t xml:space="preserve">Ces modifications remplissent le double objectif d’introduire l’obligation d’utiliser, durant le contrôle technique, un dispositif permettant de se connecter à l’interface électronique du véhicule et de prévoir les dispositions nécessaires au recueil - lors du contrôle technique - des données relatives aux émissions de CO2 ainsi que sur la consommation de carburant ou d’énergie dans des conditions d’utilisation réelle de certains véhicules. Le projet de loi assure ainsi </w:t>
      </w:r>
      <w:r w:rsidRPr="00B4028F">
        <w:rPr>
          <w:rFonts w:ascii="Arial" w:eastAsia="Songti SC" w:hAnsi="Arial" w:cs="Arial"/>
          <w:kern w:val="2"/>
          <w:sz w:val="24"/>
          <w:szCs w:val="24"/>
          <w:lang w:val="fr-CH" w:bidi="hi-IN"/>
        </w:rPr>
        <w:t>à la fois :</w:t>
      </w:r>
    </w:p>
    <w:p w:rsidR="00A91C73" w:rsidRPr="00B4028F" w:rsidRDefault="00A91C73" w:rsidP="00A91C73">
      <w:pPr>
        <w:numPr>
          <w:ilvl w:val="0"/>
          <w:numId w:val="1"/>
        </w:numPr>
        <w:snapToGrid w:val="0"/>
        <w:spacing w:after="120" w:line="240" w:lineRule="auto"/>
        <w:ind w:left="714" w:hanging="357"/>
        <w:jc w:val="both"/>
        <w:rPr>
          <w:rFonts w:ascii="Arial" w:eastAsia="Songti SC" w:hAnsi="Arial" w:cs="Arial"/>
          <w:kern w:val="2"/>
          <w:sz w:val="24"/>
          <w:szCs w:val="21"/>
          <w:lang w:val="fr-CH" w:bidi="hi-IN"/>
        </w:rPr>
      </w:pPr>
      <w:r w:rsidRPr="00B4028F">
        <w:rPr>
          <w:rFonts w:ascii="Arial" w:eastAsia="Songti SC" w:hAnsi="Arial" w:cs="Arial"/>
          <w:kern w:val="2"/>
          <w:sz w:val="24"/>
          <w:szCs w:val="21"/>
          <w:lang w:val="fr-CH" w:bidi="hi-IN"/>
        </w:rPr>
        <w:t>la</w:t>
      </w:r>
      <w:r w:rsidRPr="00B4028F">
        <w:rPr>
          <w:rFonts w:ascii="Arial" w:eastAsia="Songti SC" w:hAnsi="Arial" w:cs="Arial" w:hint="cs"/>
          <w:kern w:val="2"/>
          <w:sz w:val="24"/>
          <w:szCs w:val="21"/>
          <w:lang w:val="fr-CH" w:bidi="hi-IN"/>
        </w:rPr>
        <w:t xml:space="preserve"> transposition partielle de la directive 2014/45/UE du Parlement européen et du Conseil du 3 avril 2014 relative au contrôle technique périodique des véhicules à moteur et de leurs remorques</w:t>
      </w:r>
      <w:r w:rsidRPr="00B4028F">
        <w:rPr>
          <w:rFonts w:ascii="Arial" w:eastAsia="Songti SC" w:hAnsi="Arial" w:cs="Arial"/>
          <w:kern w:val="2"/>
          <w:sz w:val="24"/>
          <w:szCs w:val="21"/>
          <w:lang w:val="fr-CH" w:bidi="hi-IN"/>
        </w:rPr>
        <w:t> ;</w:t>
      </w:r>
      <w:r w:rsidRPr="00B4028F">
        <w:rPr>
          <w:rFonts w:ascii="Arial" w:eastAsia="Songti SC" w:hAnsi="Arial" w:cs="Arial" w:hint="cs"/>
          <w:kern w:val="2"/>
          <w:sz w:val="24"/>
          <w:szCs w:val="21"/>
          <w:lang w:val="fr-CH" w:bidi="hi-IN"/>
        </w:rPr>
        <w:t xml:space="preserve"> </w:t>
      </w:r>
    </w:p>
    <w:p w:rsidR="00A91C73" w:rsidRPr="00B4028F" w:rsidRDefault="00A91C73" w:rsidP="00A91C73">
      <w:pPr>
        <w:numPr>
          <w:ilvl w:val="0"/>
          <w:numId w:val="1"/>
        </w:numPr>
        <w:snapToGrid w:val="0"/>
        <w:spacing w:after="120" w:line="240" w:lineRule="auto"/>
        <w:ind w:left="714" w:hanging="357"/>
        <w:jc w:val="both"/>
        <w:rPr>
          <w:rFonts w:ascii="Arial" w:eastAsia="Songti SC" w:hAnsi="Arial" w:cs="Arial"/>
          <w:kern w:val="2"/>
          <w:sz w:val="24"/>
          <w:szCs w:val="21"/>
          <w:lang w:val="fr-CH" w:bidi="hi-IN"/>
        </w:rPr>
      </w:pPr>
      <w:r w:rsidRPr="00B4028F">
        <w:rPr>
          <w:rFonts w:ascii="Arial" w:eastAsia="Songti SC" w:hAnsi="Arial" w:cs="Arial"/>
          <w:kern w:val="2"/>
          <w:sz w:val="24"/>
          <w:szCs w:val="21"/>
          <w:lang w:val="fr-CH" w:bidi="hi-IN"/>
        </w:rPr>
        <w:t xml:space="preserve">l’adaptation du droit national au </w:t>
      </w:r>
      <w:r w:rsidRPr="00B4028F">
        <w:rPr>
          <w:rFonts w:ascii="Arial" w:eastAsia="Songti SC" w:hAnsi="Arial" w:cs="Arial" w:hint="cs"/>
          <w:kern w:val="2"/>
          <w:sz w:val="24"/>
          <w:szCs w:val="21"/>
          <w:lang w:val="fr-CH" w:bidi="hi-IN"/>
        </w:rPr>
        <w:t>règlement d’exécution (UE) 2021/392 de la Commission du 4 mars 2021 concernant la surveillance et la communication des données relatives aux émissions de CO</w:t>
      </w:r>
      <w:r w:rsidRPr="00B4028F">
        <w:rPr>
          <w:rFonts w:ascii="Arial" w:eastAsia="Songti SC" w:hAnsi="Arial" w:cs="Arial" w:hint="cs"/>
          <w:kern w:val="2"/>
          <w:sz w:val="24"/>
          <w:szCs w:val="21"/>
          <w:vertAlign w:val="subscript"/>
          <w:lang w:val="fr-CH" w:bidi="hi-IN"/>
        </w:rPr>
        <w:t>2</w:t>
      </w:r>
      <w:r w:rsidRPr="00B4028F">
        <w:rPr>
          <w:rFonts w:ascii="Arial" w:eastAsia="Songti SC" w:hAnsi="Arial" w:cs="Arial" w:hint="cs"/>
          <w:kern w:val="2"/>
          <w:sz w:val="24"/>
          <w:szCs w:val="21"/>
          <w:lang w:val="fr-CH" w:bidi="hi-IN"/>
        </w:rPr>
        <w:t xml:space="preserve"> des voitures particulières et des véhicules utilitaires légers conformément au règlement (UE) 2019/631 du Parlement européen et du Conseil</w:t>
      </w:r>
      <w:r w:rsidRPr="00B4028F">
        <w:rPr>
          <w:rFonts w:ascii="Arial" w:eastAsia="Songti SC" w:hAnsi="Arial" w:cs="Arial"/>
          <w:kern w:val="2"/>
          <w:sz w:val="24"/>
          <w:szCs w:val="21"/>
          <w:lang w:val="fr-CH" w:bidi="hi-IN"/>
        </w:rPr>
        <w:t> ;</w:t>
      </w:r>
      <w:r w:rsidRPr="00B4028F">
        <w:rPr>
          <w:rFonts w:ascii="Arial" w:eastAsia="Songti SC" w:hAnsi="Arial" w:cs="Arial" w:hint="cs"/>
          <w:kern w:val="2"/>
          <w:sz w:val="24"/>
          <w:szCs w:val="21"/>
          <w:lang w:val="fr-CH" w:bidi="hi-IN"/>
        </w:rPr>
        <w:t xml:space="preserve"> </w:t>
      </w:r>
    </w:p>
    <w:p w:rsidR="00A91C73" w:rsidRPr="00B4028F" w:rsidRDefault="00A91C73" w:rsidP="00A91C73">
      <w:pPr>
        <w:numPr>
          <w:ilvl w:val="0"/>
          <w:numId w:val="1"/>
        </w:numPr>
        <w:snapToGrid w:val="0"/>
        <w:spacing w:after="120" w:line="240" w:lineRule="auto"/>
        <w:ind w:left="714" w:hanging="357"/>
        <w:jc w:val="both"/>
        <w:rPr>
          <w:rFonts w:ascii="Arial" w:eastAsia="Songti SC" w:hAnsi="Arial" w:cs="Arial"/>
          <w:kern w:val="2"/>
          <w:sz w:val="24"/>
          <w:szCs w:val="21"/>
          <w:lang w:val="fr-CH" w:bidi="hi-IN"/>
        </w:rPr>
      </w:pPr>
      <w:r w:rsidRPr="00B4028F">
        <w:rPr>
          <w:rFonts w:ascii="Arial" w:eastAsia="Songti SC" w:hAnsi="Arial" w:cs="Arial"/>
          <w:kern w:val="2"/>
          <w:sz w:val="24"/>
          <w:szCs w:val="21"/>
          <w:lang w:val="fr-CH" w:bidi="hi-IN"/>
        </w:rPr>
        <w:t xml:space="preserve">et la mise en œuvre du </w:t>
      </w:r>
      <w:r w:rsidRPr="00B4028F">
        <w:rPr>
          <w:rFonts w:ascii="Arial" w:eastAsia="Songti SC" w:hAnsi="Arial" w:cs="Arial" w:hint="cs"/>
          <w:kern w:val="2"/>
          <w:sz w:val="24"/>
          <w:szCs w:val="21"/>
          <w:lang w:val="fr-CH" w:bidi="hi-IN"/>
        </w:rPr>
        <w:t>règlement (UE) 2019/631 du Parlement européen et du Conseil du 17 avril 2019 établissant des normes de performance en matière d’émissions de CO2 pour les voitures particulières neuves et pour les véhicules utilitaires légers neufs</w:t>
      </w:r>
      <w:r w:rsidRPr="00B4028F">
        <w:rPr>
          <w:rFonts w:ascii="Arial" w:eastAsia="Songti SC" w:hAnsi="Arial" w:cs="Arial"/>
          <w:kern w:val="2"/>
          <w:sz w:val="24"/>
          <w:szCs w:val="21"/>
          <w:lang w:val="fr-CH" w:bidi="hi-IN"/>
        </w:rPr>
        <w:t xml:space="preserve">. </w:t>
      </w:r>
    </w:p>
    <w:p w:rsidR="00A91C73" w:rsidRPr="00B4028F" w:rsidRDefault="00A91C73" w:rsidP="00A91C73">
      <w:pPr>
        <w:snapToGrid w:val="0"/>
        <w:spacing w:after="0" w:line="240" w:lineRule="auto"/>
        <w:jc w:val="both"/>
        <w:rPr>
          <w:rFonts w:ascii="Arial" w:eastAsia="Songti SC" w:hAnsi="Arial" w:cs="Arial"/>
          <w:kern w:val="2"/>
          <w:sz w:val="24"/>
          <w:szCs w:val="24"/>
          <w:lang w:val="fr-CH" w:bidi="hi-IN"/>
        </w:rPr>
      </w:pPr>
    </w:p>
    <w:p w:rsidR="00A91C73" w:rsidRPr="00B4028F" w:rsidRDefault="00A91C73" w:rsidP="00A91C73">
      <w:pPr>
        <w:snapToGrid w:val="0"/>
        <w:spacing w:after="0" w:line="240" w:lineRule="auto"/>
        <w:jc w:val="both"/>
        <w:rPr>
          <w:rFonts w:ascii="Arial" w:eastAsia="Songti SC" w:hAnsi="Arial" w:cs="Arial"/>
          <w:kern w:val="2"/>
          <w:sz w:val="24"/>
          <w:szCs w:val="24"/>
          <w:lang w:val="fr-CH" w:bidi="hi-IN"/>
        </w:rPr>
      </w:pPr>
    </w:p>
    <w:p w:rsidR="00F83B66" w:rsidRPr="00A91C73" w:rsidRDefault="00F83B66">
      <w:pPr>
        <w:rPr>
          <w:lang w:val="fr-CH"/>
        </w:rPr>
      </w:pPr>
    </w:p>
    <w:sectPr w:rsidR="00F83B66" w:rsidRPr="00A91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ngti SC">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2631B"/>
    <w:multiLevelType w:val="hybridMultilevel"/>
    <w:tmpl w:val="85C2C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C73"/>
    <w:rsid w:val="00A91C73"/>
    <w:rsid w:val="00D14708"/>
    <w:rsid w:val="00E94309"/>
    <w:rsid w:val="00F83B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4FED20-A892-4DBC-B929-40B236DD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73"/>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1C73"/>
    <w:pPr>
      <w:ind w:left="720"/>
      <w:contextualSpacing/>
    </w:pPr>
  </w:style>
  <w:style w:type="paragraph" w:customStyle="1" w:styleId="Sansinterligne1">
    <w:name w:val="Sans interligne1"/>
    <w:rsid w:val="00A91C73"/>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9477F2-4A38-42B5-AE3D-7D3ECEAA062A}"/>
</file>

<file path=customXml/itemProps2.xml><?xml version="1.0" encoding="utf-8"?>
<ds:datastoreItem xmlns:ds="http://schemas.openxmlformats.org/officeDocument/2006/customXml" ds:itemID="{D1E2CC6A-0BB1-4CD0-923A-0293C5D39CB7}"/>
</file>

<file path=customXml/itemProps3.xml><?xml version="1.0" encoding="utf-8"?>
<ds:datastoreItem xmlns:ds="http://schemas.openxmlformats.org/officeDocument/2006/customXml" ds:itemID="{2F9D0186-DC20-4615-A1BB-43AC00DFEFAB}"/>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