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12C" w:rsidRPr="0056312C" w:rsidRDefault="0056312C" w:rsidP="0056312C">
      <w:pPr>
        <w:spacing w:after="0" w:line="240" w:lineRule="auto"/>
        <w:jc w:val="both"/>
        <w:rPr>
          <w:rFonts w:eastAsia="Times New Roman"/>
          <w:lang w:eastAsia="fr-FR"/>
        </w:rPr>
      </w:pPr>
      <w:bookmarkStart w:id="0" w:name="_GoBack"/>
      <w:bookmarkEnd w:id="0"/>
      <w:r w:rsidRPr="0056312C">
        <w:rPr>
          <w:rFonts w:eastAsia="Times New Roman"/>
          <w:lang w:eastAsia="fr-FR"/>
        </w:rPr>
        <w:t>Projet de loi relative à la programmation financière pluriannuelle pour la période 2022-2026</w:t>
      </w:r>
    </w:p>
    <w:p w:rsidR="0056312C" w:rsidRPr="0056312C" w:rsidRDefault="0056312C" w:rsidP="0056312C">
      <w:pPr>
        <w:spacing w:after="0" w:line="240" w:lineRule="auto"/>
        <w:rPr>
          <w:rFonts w:eastAsia="Times New Roman"/>
          <w:b w:val="0"/>
          <w:color w:val="7030A0"/>
          <w:lang w:eastAsia="fr-FR"/>
        </w:rPr>
      </w:pPr>
    </w:p>
    <w:p w:rsidR="0056312C" w:rsidRPr="0056312C" w:rsidRDefault="0056312C" w:rsidP="0056312C">
      <w:pPr>
        <w:spacing w:after="0" w:line="240" w:lineRule="auto"/>
        <w:jc w:val="both"/>
        <w:rPr>
          <w:rFonts w:eastAsia="Times New Roman" w:cs="Times New Roman"/>
          <w:b w:val="0"/>
          <w:lang w:val="fr-FR" w:eastAsia="fr-FR"/>
        </w:rPr>
      </w:pPr>
      <w:r w:rsidRPr="0056312C">
        <w:rPr>
          <w:rFonts w:eastAsia="Times New Roman" w:cs="Times New Roman"/>
          <w:b w:val="0"/>
          <w:lang w:eastAsia="fr-FR"/>
        </w:rPr>
        <w:t>L</w:t>
      </w:r>
      <w:r w:rsidRPr="0056312C">
        <w:rPr>
          <w:rFonts w:eastAsia="Times New Roman" w:cs="Times New Roman"/>
          <w:b w:val="0"/>
          <w:lang w:val="fr-FR" w:eastAsia="fr-FR"/>
        </w:rPr>
        <w:t>’article 1</w:t>
      </w:r>
      <w:r w:rsidRPr="0056312C">
        <w:rPr>
          <w:rFonts w:eastAsia="Times New Roman" w:cs="Times New Roman"/>
          <w:b w:val="0"/>
          <w:vertAlign w:val="superscript"/>
          <w:lang w:val="fr-FR" w:eastAsia="fr-FR"/>
        </w:rPr>
        <w:t>er</w:t>
      </w:r>
      <w:r w:rsidRPr="0056312C">
        <w:rPr>
          <w:rFonts w:eastAsia="Times New Roman" w:cs="Times New Roman"/>
          <w:b w:val="0"/>
          <w:lang w:val="fr-FR" w:eastAsia="fr-FR"/>
        </w:rPr>
        <w:t xml:space="preserve"> </w:t>
      </w:r>
      <w:r w:rsidRPr="0056312C">
        <w:rPr>
          <w:rFonts w:eastAsia="Times New Roman" w:cs="Times New Roman"/>
          <w:b w:val="0"/>
          <w:lang w:eastAsia="fr-FR"/>
        </w:rPr>
        <w:t xml:space="preserve">du projet de loi </w:t>
      </w:r>
      <w:r w:rsidRPr="0056312C">
        <w:rPr>
          <w:rFonts w:eastAsia="Times New Roman" w:cs="Times New Roman"/>
          <w:b w:val="0"/>
          <w:lang w:val="fr-FR" w:eastAsia="fr-FR"/>
        </w:rPr>
        <w:t xml:space="preserve">a pour objet de fixer l’objectif budgétaire à moyen terme (OMT) sur toute la période dont le présent projet de loi fait l’objet : il le fixe à </w:t>
      </w:r>
      <w:r w:rsidRPr="0056312C">
        <w:rPr>
          <w:rFonts w:eastAsia="Times New Roman"/>
          <w:b w:val="0"/>
          <w:bCs/>
          <w:iCs/>
          <w:lang w:val="fr-FR" w:eastAsia="fr-FR"/>
        </w:rPr>
        <w:t>+0,5 pour cent du PIB pour 2022 et à</w:t>
      </w:r>
      <w:r w:rsidRPr="0056312C">
        <w:rPr>
          <w:rFonts w:eastAsia="Times New Roman" w:cs="Times New Roman"/>
          <w:b w:val="0"/>
          <w:lang w:val="fr-FR" w:eastAsia="fr-FR"/>
        </w:rPr>
        <w:t xml:space="preserve"> +0,0% du PIB pour la période 2023-2026. </w:t>
      </w:r>
    </w:p>
    <w:p w:rsidR="0056312C" w:rsidRPr="0056312C" w:rsidRDefault="0056312C" w:rsidP="0056312C">
      <w:pPr>
        <w:spacing w:after="0" w:line="240" w:lineRule="auto"/>
        <w:rPr>
          <w:rFonts w:eastAsia="Times New Roman"/>
          <w:b w:val="0"/>
          <w:color w:val="7030A0"/>
          <w:lang w:val="fr-FR" w:eastAsia="fr-FR"/>
        </w:rPr>
      </w:pPr>
    </w:p>
    <w:p w:rsidR="0056312C" w:rsidRPr="0056312C" w:rsidRDefault="0056312C" w:rsidP="0056312C">
      <w:pPr>
        <w:tabs>
          <w:tab w:val="left" w:pos="993"/>
        </w:tabs>
        <w:spacing w:after="0" w:line="240" w:lineRule="auto"/>
        <w:jc w:val="both"/>
        <w:rPr>
          <w:rFonts w:eastAsia="Times New Roman"/>
          <w:b w:val="0"/>
          <w:color w:val="000000"/>
          <w:lang w:val="fr-FR" w:eastAsia="fr-FR"/>
        </w:rPr>
      </w:pPr>
      <w:r w:rsidRPr="0056312C">
        <w:rPr>
          <w:rFonts w:eastAsia="Times New Roman"/>
          <w:b w:val="0"/>
          <w:color w:val="000000"/>
          <w:lang w:val="fr-FR" w:eastAsia="fr-FR"/>
        </w:rPr>
        <w:t xml:space="preserve">Les soldes nominaux et structurels de la trajectoire d’ajustement vers l’objectif budgétaire à moyen terme évoluent comme suit au titre de la période 2022 à 2026 : </w:t>
      </w:r>
    </w:p>
    <w:p w:rsidR="0056312C" w:rsidRPr="0056312C" w:rsidRDefault="0056312C" w:rsidP="0056312C">
      <w:pPr>
        <w:spacing w:after="0" w:line="240" w:lineRule="auto"/>
        <w:ind w:firstLine="426"/>
        <w:jc w:val="right"/>
        <w:rPr>
          <w:rFonts w:eastAsia="Times New Roman"/>
          <w:b w:val="0"/>
          <w:color w:val="000000"/>
          <w:lang w:val="fr-FR" w:eastAsia="fr-FR"/>
        </w:rPr>
      </w:pPr>
    </w:p>
    <w:tbl>
      <w:tblPr>
        <w:tblW w:w="8507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2"/>
        <w:gridCol w:w="951"/>
        <w:gridCol w:w="951"/>
        <w:gridCol w:w="951"/>
        <w:gridCol w:w="951"/>
        <w:gridCol w:w="951"/>
      </w:tblGrid>
      <w:tr w:rsidR="0056312C" w:rsidRPr="0056312C" w:rsidTr="00641458">
        <w:trPr>
          <w:trHeight w:val="255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12C" w:rsidRPr="0056312C" w:rsidRDefault="0056312C" w:rsidP="0056312C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fr-FR"/>
              </w:rPr>
            </w:pPr>
            <w:r w:rsidRPr="0056312C">
              <w:rPr>
                <w:rFonts w:eastAsia="Times New Roman"/>
                <w:b w:val="0"/>
                <w:color w:val="000000"/>
                <w:lang w:eastAsia="fr-FR"/>
              </w:rPr>
              <w:t>En % du PIB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12C" w:rsidRPr="0056312C" w:rsidRDefault="0056312C" w:rsidP="0056312C">
            <w:pPr>
              <w:spacing w:after="0" w:line="240" w:lineRule="auto"/>
              <w:ind w:left="-496" w:firstLine="426"/>
              <w:jc w:val="center"/>
              <w:rPr>
                <w:rFonts w:eastAsia="Times New Roman"/>
                <w:b w:val="0"/>
                <w:color w:val="000000"/>
                <w:lang w:val="fr-FR" w:eastAsia="fr-FR"/>
              </w:rPr>
            </w:pPr>
            <w:r w:rsidRPr="0056312C">
              <w:rPr>
                <w:rFonts w:eastAsia="Times New Roman"/>
                <w:b w:val="0"/>
                <w:color w:val="000000"/>
                <w:lang w:val="fr-FR" w:eastAsia="fr-FR"/>
              </w:rPr>
              <w:t>2022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12C" w:rsidRPr="0056312C" w:rsidRDefault="0056312C" w:rsidP="0056312C">
            <w:pPr>
              <w:spacing w:after="0" w:line="240" w:lineRule="auto"/>
              <w:ind w:left="-496" w:firstLine="426"/>
              <w:jc w:val="center"/>
              <w:rPr>
                <w:rFonts w:eastAsia="Times New Roman"/>
                <w:b w:val="0"/>
                <w:color w:val="000000"/>
                <w:lang w:val="fr-FR" w:eastAsia="fr-FR"/>
              </w:rPr>
            </w:pPr>
            <w:r w:rsidRPr="0056312C">
              <w:rPr>
                <w:rFonts w:eastAsia="Times New Roman"/>
                <w:b w:val="0"/>
                <w:color w:val="000000"/>
                <w:lang w:val="fr-FR" w:eastAsia="fr-FR"/>
              </w:rPr>
              <w:t>2023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12C" w:rsidRPr="0056312C" w:rsidRDefault="0056312C" w:rsidP="0056312C">
            <w:pPr>
              <w:spacing w:after="0" w:line="240" w:lineRule="auto"/>
              <w:ind w:left="-496" w:firstLine="426"/>
              <w:jc w:val="center"/>
              <w:rPr>
                <w:rFonts w:eastAsia="Times New Roman"/>
                <w:b w:val="0"/>
                <w:color w:val="000000"/>
                <w:lang w:val="fr-FR" w:eastAsia="fr-FR"/>
              </w:rPr>
            </w:pPr>
            <w:r w:rsidRPr="0056312C">
              <w:rPr>
                <w:rFonts w:eastAsia="Times New Roman"/>
                <w:b w:val="0"/>
                <w:color w:val="000000"/>
                <w:lang w:val="fr-FR" w:eastAsia="fr-FR"/>
              </w:rPr>
              <w:t>2024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12C" w:rsidRPr="0056312C" w:rsidRDefault="0056312C" w:rsidP="0056312C">
            <w:pPr>
              <w:spacing w:after="0" w:line="240" w:lineRule="auto"/>
              <w:ind w:left="-496" w:firstLine="426"/>
              <w:jc w:val="center"/>
              <w:rPr>
                <w:rFonts w:eastAsia="Times New Roman"/>
                <w:b w:val="0"/>
                <w:color w:val="000000"/>
                <w:lang w:val="fr-FR" w:eastAsia="fr-FR"/>
              </w:rPr>
            </w:pPr>
            <w:r w:rsidRPr="0056312C">
              <w:rPr>
                <w:rFonts w:eastAsia="Times New Roman"/>
                <w:b w:val="0"/>
                <w:color w:val="000000"/>
                <w:lang w:val="fr-FR" w:eastAsia="fr-FR"/>
              </w:rPr>
              <w:t>2025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12C" w:rsidRPr="0056312C" w:rsidRDefault="0056312C" w:rsidP="0056312C">
            <w:pPr>
              <w:spacing w:after="0" w:line="240" w:lineRule="auto"/>
              <w:ind w:left="-496" w:firstLine="426"/>
              <w:jc w:val="center"/>
              <w:rPr>
                <w:rFonts w:eastAsia="Times New Roman"/>
                <w:b w:val="0"/>
                <w:color w:val="000000"/>
                <w:lang w:val="fr-FR" w:eastAsia="fr-FR"/>
              </w:rPr>
            </w:pPr>
            <w:r w:rsidRPr="0056312C">
              <w:rPr>
                <w:rFonts w:eastAsia="Times New Roman"/>
                <w:b w:val="0"/>
                <w:color w:val="000000"/>
                <w:lang w:val="fr-FR" w:eastAsia="fr-FR"/>
              </w:rPr>
              <w:t>2026</w:t>
            </w:r>
          </w:p>
        </w:tc>
      </w:tr>
      <w:tr w:rsidR="0056312C" w:rsidRPr="0056312C" w:rsidTr="00641458">
        <w:trPr>
          <w:trHeight w:val="227"/>
        </w:trPr>
        <w:tc>
          <w:tcPr>
            <w:tcW w:w="3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12C" w:rsidRPr="0056312C" w:rsidRDefault="0056312C" w:rsidP="0056312C">
            <w:pPr>
              <w:tabs>
                <w:tab w:val="left" w:leader="dot" w:pos="3609"/>
              </w:tabs>
              <w:spacing w:after="0" w:line="240" w:lineRule="auto"/>
              <w:rPr>
                <w:rFonts w:eastAsia="Times New Roman"/>
                <w:b w:val="0"/>
                <w:color w:val="000000"/>
                <w:lang w:val="fr-FR" w:eastAsia="fr-FR"/>
              </w:rPr>
            </w:pPr>
            <w:r w:rsidRPr="0056312C">
              <w:rPr>
                <w:rFonts w:eastAsia="Times New Roman"/>
                <w:b w:val="0"/>
                <w:color w:val="000000"/>
                <w:lang w:val="fr-FR" w:eastAsia="fr-FR"/>
              </w:rPr>
              <w:t>- Administration centrale</w:t>
            </w:r>
            <w:r w:rsidRPr="0056312C">
              <w:rPr>
                <w:rFonts w:eastAsia="Times New Roman"/>
                <w:b w:val="0"/>
                <w:color w:val="000000"/>
                <w:lang w:val="fr-FR" w:eastAsia="fr-FR"/>
              </w:rPr>
              <w:tab/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6312C" w:rsidRPr="0056312C" w:rsidRDefault="0056312C" w:rsidP="0056312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highlight w:val="red"/>
                <w:lang w:val="fr-FR" w:eastAsia="fr-FR"/>
              </w:rPr>
            </w:pPr>
            <w:r w:rsidRPr="0056312C">
              <w:rPr>
                <w:rFonts w:eastAsia="Times New Roman"/>
                <w:b w:val="0"/>
                <w:color w:val="000000"/>
                <w:lang w:val="fr-FR" w:eastAsia="fr-FR"/>
              </w:rPr>
              <w:t>-1,7%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6312C" w:rsidRPr="0056312C" w:rsidRDefault="0056312C" w:rsidP="0056312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highlight w:val="red"/>
                <w:lang w:val="fr-FR" w:eastAsia="fr-FR"/>
              </w:rPr>
            </w:pPr>
            <w:r w:rsidRPr="0056312C">
              <w:rPr>
                <w:rFonts w:eastAsia="Times New Roman"/>
                <w:b w:val="0"/>
                <w:color w:val="000000"/>
                <w:lang w:val="fr-FR" w:eastAsia="fr-FR"/>
              </w:rPr>
              <w:t>-3,4%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6312C" w:rsidRPr="0056312C" w:rsidRDefault="0056312C" w:rsidP="0056312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highlight w:val="red"/>
                <w:lang w:val="fr-FR" w:eastAsia="fr-FR"/>
              </w:rPr>
            </w:pPr>
            <w:r w:rsidRPr="0056312C">
              <w:rPr>
                <w:rFonts w:eastAsia="Times New Roman"/>
                <w:b w:val="0"/>
                <w:color w:val="000000"/>
                <w:lang w:val="fr-FR" w:eastAsia="fr-FR"/>
              </w:rPr>
              <w:t>-2,3%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6312C" w:rsidRPr="0056312C" w:rsidRDefault="0056312C" w:rsidP="0056312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highlight w:val="red"/>
                <w:lang w:val="fr-FR" w:eastAsia="fr-FR"/>
              </w:rPr>
            </w:pPr>
            <w:r w:rsidRPr="0056312C">
              <w:rPr>
                <w:rFonts w:eastAsia="Times New Roman"/>
                <w:b w:val="0"/>
                <w:color w:val="000000"/>
                <w:lang w:val="fr-FR" w:eastAsia="fr-FR"/>
              </w:rPr>
              <w:t>-2,1%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312C" w:rsidRPr="0056312C" w:rsidRDefault="0056312C" w:rsidP="0056312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highlight w:val="red"/>
                <w:lang w:val="fr-FR" w:eastAsia="fr-FR"/>
              </w:rPr>
            </w:pPr>
            <w:r w:rsidRPr="0056312C">
              <w:rPr>
                <w:rFonts w:eastAsia="Times New Roman"/>
                <w:b w:val="0"/>
                <w:color w:val="000000"/>
                <w:lang w:val="fr-FR" w:eastAsia="fr-FR"/>
              </w:rPr>
              <w:t>-1,7%</w:t>
            </w:r>
          </w:p>
        </w:tc>
      </w:tr>
      <w:tr w:rsidR="0056312C" w:rsidRPr="0056312C" w:rsidTr="00641458">
        <w:trPr>
          <w:trHeight w:val="227"/>
        </w:trPr>
        <w:tc>
          <w:tcPr>
            <w:tcW w:w="37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12C" w:rsidRPr="0056312C" w:rsidRDefault="0056312C" w:rsidP="0056312C">
            <w:pPr>
              <w:tabs>
                <w:tab w:val="left" w:leader="dot" w:pos="3535"/>
              </w:tabs>
              <w:spacing w:after="0" w:line="240" w:lineRule="auto"/>
              <w:rPr>
                <w:rFonts w:eastAsia="Times New Roman"/>
                <w:b w:val="0"/>
                <w:color w:val="000000"/>
                <w:lang w:val="fr-FR" w:eastAsia="fr-FR"/>
              </w:rPr>
            </w:pPr>
            <w:r w:rsidRPr="0056312C">
              <w:rPr>
                <w:rFonts w:eastAsia="Times New Roman"/>
                <w:b w:val="0"/>
                <w:color w:val="000000"/>
                <w:lang w:val="fr-FR" w:eastAsia="fr-FR"/>
              </w:rPr>
              <w:t>- Administrations locales</w:t>
            </w:r>
            <w:r w:rsidRPr="0056312C">
              <w:rPr>
                <w:rFonts w:eastAsia="Times New Roman"/>
                <w:b w:val="0"/>
                <w:color w:val="000000"/>
                <w:lang w:val="fr-FR" w:eastAsia="fr-FR"/>
              </w:rPr>
              <w:tab/>
            </w:r>
          </w:p>
        </w:tc>
        <w:tc>
          <w:tcPr>
            <w:tcW w:w="9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6312C" w:rsidRPr="0056312C" w:rsidRDefault="0056312C" w:rsidP="0056312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highlight w:val="red"/>
                <w:lang w:val="fr-FR" w:eastAsia="fr-FR"/>
              </w:rPr>
            </w:pPr>
            <w:r w:rsidRPr="0056312C">
              <w:rPr>
                <w:rFonts w:eastAsia="Times New Roman"/>
                <w:b w:val="0"/>
                <w:color w:val="000000"/>
                <w:lang w:val="fr-FR" w:eastAsia="fr-FR"/>
              </w:rPr>
              <w:t>0,0%</w:t>
            </w:r>
          </w:p>
        </w:tc>
        <w:tc>
          <w:tcPr>
            <w:tcW w:w="9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6312C" w:rsidRPr="0056312C" w:rsidRDefault="0056312C" w:rsidP="0056312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highlight w:val="red"/>
                <w:lang w:val="fr-FR" w:eastAsia="fr-FR"/>
              </w:rPr>
            </w:pPr>
            <w:r w:rsidRPr="0056312C">
              <w:rPr>
                <w:rFonts w:eastAsia="Times New Roman"/>
                <w:b w:val="0"/>
                <w:color w:val="000000"/>
                <w:lang w:val="fr-FR" w:eastAsia="fr-FR"/>
              </w:rPr>
              <w:t>0,0%</w:t>
            </w:r>
          </w:p>
        </w:tc>
        <w:tc>
          <w:tcPr>
            <w:tcW w:w="9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6312C" w:rsidRPr="0056312C" w:rsidRDefault="0056312C" w:rsidP="0056312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highlight w:val="red"/>
                <w:lang w:val="fr-FR" w:eastAsia="fr-FR"/>
              </w:rPr>
            </w:pPr>
            <w:r w:rsidRPr="0056312C">
              <w:rPr>
                <w:rFonts w:eastAsia="Times New Roman"/>
                <w:b w:val="0"/>
                <w:color w:val="000000"/>
                <w:lang w:val="fr-FR" w:eastAsia="fr-FR"/>
              </w:rPr>
              <w:t>0,1%</w:t>
            </w:r>
          </w:p>
        </w:tc>
        <w:tc>
          <w:tcPr>
            <w:tcW w:w="9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6312C" w:rsidRPr="0056312C" w:rsidRDefault="0056312C" w:rsidP="0056312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highlight w:val="red"/>
                <w:lang w:val="fr-FR" w:eastAsia="fr-FR"/>
              </w:rPr>
            </w:pPr>
            <w:r w:rsidRPr="0056312C">
              <w:rPr>
                <w:rFonts w:eastAsia="Times New Roman"/>
                <w:b w:val="0"/>
                <w:color w:val="000000"/>
                <w:lang w:val="fr-FR" w:eastAsia="fr-FR"/>
              </w:rPr>
              <w:t>0,1%</w:t>
            </w:r>
          </w:p>
        </w:tc>
        <w:tc>
          <w:tcPr>
            <w:tcW w:w="951" w:type="dxa"/>
            <w:tcBorders>
              <w:top w:val="nil"/>
              <w:left w:val="nil"/>
              <w:right w:val="single" w:sz="4" w:space="0" w:color="auto"/>
            </w:tcBorders>
          </w:tcPr>
          <w:p w:rsidR="0056312C" w:rsidRPr="0056312C" w:rsidRDefault="0056312C" w:rsidP="0056312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highlight w:val="red"/>
                <w:lang w:val="fr-FR" w:eastAsia="fr-FR"/>
              </w:rPr>
            </w:pPr>
            <w:r w:rsidRPr="0056312C">
              <w:rPr>
                <w:rFonts w:eastAsia="Times New Roman"/>
                <w:b w:val="0"/>
                <w:color w:val="000000"/>
                <w:lang w:val="fr-FR" w:eastAsia="fr-FR"/>
              </w:rPr>
              <w:t>0,1%</w:t>
            </w:r>
          </w:p>
        </w:tc>
      </w:tr>
      <w:tr w:rsidR="0056312C" w:rsidRPr="0056312C" w:rsidTr="00641458">
        <w:trPr>
          <w:trHeight w:val="227"/>
        </w:trPr>
        <w:tc>
          <w:tcPr>
            <w:tcW w:w="37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12C" w:rsidRPr="0056312C" w:rsidRDefault="0056312C" w:rsidP="0056312C">
            <w:pPr>
              <w:tabs>
                <w:tab w:val="left" w:leader="dot" w:pos="3535"/>
              </w:tabs>
              <w:spacing w:after="0" w:line="240" w:lineRule="auto"/>
              <w:rPr>
                <w:rFonts w:eastAsia="Times New Roman"/>
                <w:b w:val="0"/>
                <w:color w:val="000000"/>
                <w:lang w:val="fr-FR" w:eastAsia="fr-FR"/>
              </w:rPr>
            </w:pPr>
            <w:r w:rsidRPr="0056312C">
              <w:rPr>
                <w:rFonts w:eastAsia="Times New Roman"/>
                <w:b w:val="0"/>
                <w:color w:val="000000"/>
                <w:lang w:val="fr-FR" w:eastAsia="fr-FR"/>
              </w:rPr>
              <w:t>- Administrations de sécurité sociale</w:t>
            </w:r>
            <w:r w:rsidRPr="0056312C">
              <w:rPr>
                <w:rFonts w:eastAsia="Times New Roman"/>
                <w:b w:val="0"/>
                <w:color w:val="000000"/>
                <w:lang w:val="fr-FR" w:eastAsia="fr-FR"/>
              </w:rPr>
              <w:tab/>
            </w:r>
          </w:p>
        </w:tc>
        <w:tc>
          <w:tcPr>
            <w:tcW w:w="9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6312C" w:rsidRPr="0056312C" w:rsidRDefault="0056312C" w:rsidP="0056312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highlight w:val="red"/>
                <w:lang w:val="fr-FR" w:eastAsia="fr-FR"/>
              </w:rPr>
            </w:pPr>
            <w:r w:rsidRPr="0056312C">
              <w:rPr>
                <w:rFonts w:eastAsia="Times New Roman"/>
                <w:b w:val="0"/>
                <w:color w:val="000000"/>
                <w:lang w:val="fr-FR" w:eastAsia="fr-FR"/>
              </w:rPr>
              <w:t>1,3%</w:t>
            </w:r>
          </w:p>
        </w:tc>
        <w:tc>
          <w:tcPr>
            <w:tcW w:w="9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6312C" w:rsidRPr="0056312C" w:rsidRDefault="0056312C" w:rsidP="0056312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highlight w:val="red"/>
                <w:lang w:val="fr-FR" w:eastAsia="fr-FR"/>
              </w:rPr>
            </w:pPr>
            <w:r w:rsidRPr="0056312C">
              <w:rPr>
                <w:rFonts w:eastAsia="Times New Roman"/>
                <w:b w:val="0"/>
                <w:color w:val="000000"/>
                <w:lang w:val="fr-FR" w:eastAsia="fr-FR"/>
              </w:rPr>
              <w:t>1,2%</w:t>
            </w:r>
          </w:p>
        </w:tc>
        <w:tc>
          <w:tcPr>
            <w:tcW w:w="9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6312C" w:rsidRPr="0056312C" w:rsidRDefault="0056312C" w:rsidP="0056312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highlight w:val="red"/>
                <w:lang w:val="fr-FR" w:eastAsia="fr-FR"/>
              </w:rPr>
            </w:pPr>
            <w:r w:rsidRPr="0056312C">
              <w:rPr>
                <w:rFonts w:eastAsia="Times New Roman"/>
                <w:b w:val="0"/>
                <w:color w:val="000000"/>
                <w:lang w:val="fr-FR" w:eastAsia="fr-FR"/>
              </w:rPr>
              <w:t>1,1%</w:t>
            </w:r>
          </w:p>
        </w:tc>
        <w:tc>
          <w:tcPr>
            <w:tcW w:w="9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6312C" w:rsidRPr="0056312C" w:rsidRDefault="0056312C" w:rsidP="0056312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highlight w:val="red"/>
                <w:lang w:val="fr-FR" w:eastAsia="fr-FR"/>
              </w:rPr>
            </w:pPr>
            <w:r w:rsidRPr="0056312C">
              <w:rPr>
                <w:rFonts w:eastAsia="Times New Roman"/>
                <w:b w:val="0"/>
                <w:color w:val="000000"/>
                <w:lang w:val="fr-FR" w:eastAsia="fr-FR"/>
              </w:rPr>
              <w:t>0,9%</w:t>
            </w:r>
          </w:p>
        </w:tc>
        <w:tc>
          <w:tcPr>
            <w:tcW w:w="951" w:type="dxa"/>
            <w:tcBorders>
              <w:top w:val="nil"/>
              <w:left w:val="nil"/>
              <w:right w:val="single" w:sz="4" w:space="0" w:color="auto"/>
            </w:tcBorders>
          </w:tcPr>
          <w:p w:rsidR="0056312C" w:rsidRPr="0056312C" w:rsidRDefault="0056312C" w:rsidP="0056312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highlight w:val="red"/>
                <w:lang w:val="fr-FR" w:eastAsia="fr-FR"/>
              </w:rPr>
            </w:pPr>
            <w:r w:rsidRPr="0056312C">
              <w:rPr>
                <w:rFonts w:eastAsia="Times New Roman"/>
                <w:b w:val="0"/>
                <w:color w:val="000000"/>
                <w:lang w:val="fr-FR" w:eastAsia="fr-FR"/>
              </w:rPr>
              <w:t>0,7%</w:t>
            </w:r>
          </w:p>
        </w:tc>
      </w:tr>
      <w:tr w:rsidR="0056312C" w:rsidRPr="0056312C" w:rsidTr="00641458">
        <w:trPr>
          <w:trHeight w:val="227"/>
        </w:trPr>
        <w:tc>
          <w:tcPr>
            <w:tcW w:w="3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12C" w:rsidRPr="0056312C" w:rsidRDefault="0056312C" w:rsidP="0056312C">
            <w:pPr>
              <w:tabs>
                <w:tab w:val="left" w:leader="dot" w:pos="3116"/>
              </w:tabs>
              <w:spacing w:after="0" w:line="240" w:lineRule="auto"/>
              <w:rPr>
                <w:rFonts w:eastAsia="Times New Roman"/>
                <w:b w:val="0"/>
                <w:color w:val="000000"/>
                <w:lang w:val="fr-FR" w:eastAsia="fr-FR"/>
              </w:rPr>
            </w:pPr>
            <w:r w:rsidRPr="0056312C">
              <w:rPr>
                <w:rFonts w:eastAsia="Times New Roman"/>
                <w:b w:val="0"/>
                <w:color w:val="000000"/>
                <w:lang w:val="fr-FR" w:eastAsia="fr-FR"/>
              </w:rPr>
              <w:t>- Administrations publiques :</w:t>
            </w:r>
          </w:p>
        </w:tc>
        <w:tc>
          <w:tcPr>
            <w:tcW w:w="95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12C" w:rsidRPr="0056312C" w:rsidRDefault="0056312C" w:rsidP="0056312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lang w:val="fr-FR" w:eastAsia="fr-FR"/>
              </w:rPr>
            </w:pPr>
            <w:r w:rsidRPr="0056312C">
              <w:rPr>
                <w:rFonts w:eastAsia="Times New Roman"/>
                <w:b w:val="0"/>
                <w:color w:val="000000"/>
                <w:lang w:val="fr-FR" w:eastAsia="fr-FR"/>
              </w:rPr>
              <w:t> </w:t>
            </w:r>
          </w:p>
        </w:tc>
        <w:tc>
          <w:tcPr>
            <w:tcW w:w="95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12C" w:rsidRPr="0056312C" w:rsidRDefault="0056312C" w:rsidP="0056312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lang w:val="fr-FR" w:eastAsia="fr-FR"/>
              </w:rPr>
            </w:pPr>
            <w:r w:rsidRPr="0056312C">
              <w:rPr>
                <w:rFonts w:eastAsia="Times New Roman"/>
                <w:b w:val="0"/>
                <w:color w:val="000000"/>
                <w:lang w:val="fr-FR" w:eastAsia="fr-FR"/>
              </w:rPr>
              <w:t> </w:t>
            </w:r>
          </w:p>
        </w:tc>
        <w:tc>
          <w:tcPr>
            <w:tcW w:w="95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12C" w:rsidRPr="0056312C" w:rsidRDefault="0056312C" w:rsidP="0056312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lang w:val="fr-FR" w:eastAsia="fr-FR"/>
              </w:rPr>
            </w:pPr>
            <w:r w:rsidRPr="0056312C">
              <w:rPr>
                <w:rFonts w:eastAsia="Times New Roman"/>
                <w:b w:val="0"/>
                <w:color w:val="000000"/>
                <w:lang w:val="fr-FR" w:eastAsia="fr-FR"/>
              </w:rPr>
              <w:t> </w:t>
            </w:r>
          </w:p>
        </w:tc>
        <w:tc>
          <w:tcPr>
            <w:tcW w:w="95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312C" w:rsidRPr="0056312C" w:rsidRDefault="0056312C" w:rsidP="0056312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lang w:val="fr-FR" w:eastAsia="fr-FR"/>
              </w:rPr>
            </w:pPr>
            <w:r w:rsidRPr="0056312C">
              <w:rPr>
                <w:rFonts w:eastAsia="Times New Roman"/>
                <w:b w:val="0"/>
                <w:color w:val="000000"/>
                <w:lang w:val="fr-FR" w:eastAsia="fr-FR"/>
              </w:rPr>
              <w:t> </w:t>
            </w:r>
          </w:p>
        </w:tc>
        <w:tc>
          <w:tcPr>
            <w:tcW w:w="951" w:type="dxa"/>
            <w:tcBorders>
              <w:left w:val="nil"/>
              <w:right w:val="single" w:sz="4" w:space="0" w:color="auto"/>
            </w:tcBorders>
          </w:tcPr>
          <w:p w:rsidR="0056312C" w:rsidRPr="0056312C" w:rsidRDefault="0056312C" w:rsidP="0056312C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lang w:val="fr-FR" w:eastAsia="fr-FR"/>
              </w:rPr>
            </w:pPr>
          </w:p>
        </w:tc>
      </w:tr>
      <w:tr w:rsidR="0056312C" w:rsidRPr="0056312C" w:rsidTr="00641458">
        <w:trPr>
          <w:trHeight w:val="227"/>
        </w:trPr>
        <w:tc>
          <w:tcPr>
            <w:tcW w:w="3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12C" w:rsidRPr="0056312C" w:rsidRDefault="0056312C" w:rsidP="0056312C">
            <w:pPr>
              <w:tabs>
                <w:tab w:val="left" w:leader="dot" w:pos="3535"/>
              </w:tabs>
              <w:spacing w:after="0" w:line="240" w:lineRule="auto"/>
              <w:rPr>
                <w:rFonts w:eastAsia="Times New Roman"/>
                <w:b w:val="0"/>
                <w:color w:val="000000"/>
                <w:lang w:val="fr-FR" w:eastAsia="fr-FR"/>
              </w:rPr>
            </w:pPr>
            <w:r w:rsidRPr="0056312C">
              <w:rPr>
                <w:rFonts w:eastAsia="Times New Roman"/>
                <w:b w:val="0"/>
                <w:color w:val="000000"/>
                <w:lang w:val="fr-FR" w:eastAsia="fr-FR"/>
              </w:rPr>
              <w:t>- Solde nominal</w:t>
            </w:r>
            <w:r w:rsidRPr="0056312C">
              <w:rPr>
                <w:rFonts w:eastAsia="Times New Roman"/>
                <w:b w:val="0"/>
                <w:color w:val="000000"/>
                <w:lang w:val="fr-FR" w:eastAsia="fr-FR"/>
              </w:rPr>
              <w:tab/>
            </w:r>
          </w:p>
        </w:tc>
        <w:tc>
          <w:tcPr>
            <w:tcW w:w="9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6312C" w:rsidRPr="0056312C" w:rsidRDefault="0056312C" w:rsidP="0056312C">
            <w:pPr>
              <w:spacing w:after="0" w:line="240" w:lineRule="auto"/>
              <w:jc w:val="right"/>
              <w:rPr>
                <w:rFonts w:eastAsia="Times New Roman"/>
                <w:b w:val="0"/>
                <w:bCs/>
                <w:color w:val="000000"/>
                <w:highlight w:val="red"/>
                <w:lang w:val="fr-FR" w:eastAsia="fr-FR"/>
              </w:rPr>
            </w:pPr>
            <w:r w:rsidRPr="0056312C">
              <w:rPr>
                <w:rFonts w:eastAsia="Times New Roman"/>
                <w:b w:val="0"/>
                <w:color w:val="000000"/>
                <w:lang w:val="fr-FR" w:eastAsia="fr-FR"/>
              </w:rPr>
              <w:t>-0,4%</w:t>
            </w:r>
          </w:p>
        </w:tc>
        <w:tc>
          <w:tcPr>
            <w:tcW w:w="9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6312C" w:rsidRPr="0056312C" w:rsidRDefault="0056312C" w:rsidP="0056312C">
            <w:pPr>
              <w:spacing w:after="0" w:line="240" w:lineRule="auto"/>
              <w:jc w:val="right"/>
              <w:rPr>
                <w:rFonts w:eastAsia="Times New Roman"/>
                <w:b w:val="0"/>
                <w:bCs/>
                <w:color w:val="000000"/>
                <w:highlight w:val="red"/>
                <w:lang w:val="fr-FR" w:eastAsia="fr-FR"/>
              </w:rPr>
            </w:pPr>
            <w:r w:rsidRPr="0056312C">
              <w:rPr>
                <w:rFonts w:eastAsia="Times New Roman"/>
                <w:b w:val="0"/>
                <w:color w:val="000000"/>
                <w:lang w:val="fr-FR" w:eastAsia="fr-FR"/>
              </w:rPr>
              <w:t>-2,2%</w:t>
            </w:r>
          </w:p>
        </w:tc>
        <w:tc>
          <w:tcPr>
            <w:tcW w:w="9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6312C" w:rsidRPr="0056312C" w:rsidRDefault="0056312C" w:rsidP="0056312C">
            <w:pPr>
              <w:spacing w:after="0" w:line="240" w:lineRule="auto"/>
              <w:jc w:val="right"/>
              <w:rPr>
                <w:rFonts w:eastAsia="Times New Roman"/>
                <w:b w:val="0"/>
                <w:bCs/>
                <w:color w:val="000000"/>
                <w:highlight w:val="red"/>
                <w:lang w:val="fr-FR" w:eastAsia="fr-FR"/>
              </w:rPr>
            </w:pPr>
            <w:r w:rsidRPr="0056312C">
              <w:rPr>
                <w:rFonts w:eastAsia="Times New Roman"/>
                <w:b w:val="0"/>
                <w:color w:val="000000"/>
                <w:lang w:val="fr-FR" w:eastAsia="fr-FR"/>
              </w:rPr>
              <w:t>-1,1%</w:t>
            </w:r>
          </w:p>
        </w:tc>
        <w:tc>
          <w:tcPr>
            <w:tcW w:w="9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6312C" w:rsidRPr="0056312C" w:rsidRDefault="0056312C" w:rsidP="0056312C">
            <w:pPr>
              <w:spacing w:after="0" w:line="240" w:lineRule="auto"/>
              <w:jc w:val="right"/>
              <w:rPr>
                <w:rFonts w:eastAsia="Times New Roman"/>
                <w:b w:val="0"/>
                <w:bCs/>
                <w:color w:val="000000"/>
                <w:highlight w:val="red"/>
                <w:lang w:val="fr-FR" w:eastAsia="fr-FR"/>
              </w:rPr>
            </w:pPr>
            <w:r w:rsidRPr="0056312C">
              <w:rPr>
                <w:rFonts w:eastAsia="Times New Roman"/>
                <w:b w:val="0"/>
                <w:color w:val="000000"/>
                <w:lang w:val="fr-FR" w:eastAsia="fr-FR"/>
              </w:rPr>
              <w:t>-1,1%</w:t>
            </w:r>
          </w:p>
        </w:tc>
        <w:tc>
          <w:tcPr>
            <w:tcW w:w="951" w:type="dxa"/>
            <w:tcBorders>
              <w:top w:val="nil"/>
              <w:left w:val="nil"/>
              <w:right w:val="single" w:sz="4" w:space="0" w:color="auto"/>
            </w:tcBorders>
          </w:tcPr>
          <w:p w:rsidR="0056312C" w:rsidRPr="0056312C" w:rsidRDefault="0056312C" w:rsidP="0056312C">
            <w:pPr>
              <w:spacing w:after="0" w:line="240" w:lineRule="auto"/>
              <w:jc w:val="right"/>
              <w:rPr>
                <w:rFonts w:eastAsia="Times New Roman"/>
                <w:b w:val="0"/>
                <w:bCs/>
                <w:color w:val="000000"/>
                <w:highlight w:val="red"/>
                <w:lang w:val="fr-FR" w:eastAsia="fr-FR"/>
              </w:rPr>
            </w:pPr>
            <w:r w:rsidRPr="0056312C">
              <w:rPr>
                <w:rFonts w:eastAsia="Times New Roman"/>
                <w:b w:val="0"/>
                <w:color w:val="000000"/>
                <w:lang w:val="fr-FR" w:eastAsia="fr-FR"/>
              </w:rPr>
              <w:t>-0,9%</w:t>
            </w:r>
          </w:p>
        </w:tc>
      </w:tr>
      <w:tr w:rsidR="0056312C" w:rsidRPr="0056312C" w:rsidTr="00641458">
        <w:trPr>
          <w:trHeight w:val="227"/>
        </w:trPr>
        <w:tc>
          <w:tcPr>
            <w:tcW w:w="3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12C" w:rsidRPr="0056312C" w:rsidRDefault="0056312C" w:rsidP="0056312C">
            <w:pPr>
              <w:tabs>
                <w:tab w:val="left" w:leader="dot" w:pos="3535"/>
              </w:tabs>
              <w:spacing w:after="0" w:line="240" w:lineRule="auto"/>
              <w:rPr>
                <w:rFonts w:eastAsia="Times New Roman"/>
                <w:b w:val="0"/>
                <w:color w:val="000000"/>
                <w:lang w:val="fr-FR" w:eastAsia="fr-FR"/>
              </w:rPr>
            </w:pPr>
            <w:r w:rsidRPr="0056312C">
              <w:rPr>
                <w:rFonts w:eastAsia="Times New Roman"/>
                <w:b w:val="0"/>
                <w:color w:val="000000"/>
                <w:lang w:val="fr-FR" w:eastAsia="fr-FR"/>
              </w:rPr>
              <w:t>- Solde structurel</w:t>
            </w:r>
            <w:r w:rsidRPr="0056312C">
              <w:rPr>
                <w:rFonts w:eastAsia="Times New Roman"/>
                <w:b w:val="0"/>
                <w:color w:val="000000"/>
                <w:lang w:val="fr-FR" w:eastAsia="fr-FR"/>
              </w:rPr>
              <w:tab/>
            </w:r>
          </w:p>
        </w:tc>
        <w:tc>
          <w:tcPr>
            <w:tcW w:w="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12C" w:rsidRPr="0056312C" w:rsidRDefault="0056312C" w:rsidP="0056312C">
            <w:pPr>
              <w:spacing w:after="0" w:line="240" w:lineRule="auto"/>
              <w:jc w:val="right"/>
              <w:rPr>
                <w:rFonts w:eastAsia="Times New Roman"/>
                <w:b w:val="0"/>
                <w:bCs/>
                <w:color w:val="000000"/>
                <w:highlight w:val="red"/>
                <w:lang w:val="fr-FR" w:eastAsia="fr-FR"/>
              </w:rPr>
            </w:pPr>
            <w:r w:rsidRPr="0056312C">
              <w:rPr>
                <w:rFonts w:eastAsia="Times New Roman"/>
                <w:b w:val="0"/>
                <w:color w:val="000000"/>
                <w:lang w:val="fr-FR" w:eastAsia="fr-FR"/>
              </w:rPr>
              <w:t>-0,2%</w:t>
            </w:r>
          </w:p>
        </w:tc>
        <w:tc>
          <w:tcPr>
            <w:tcW w:w="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12C" w:rsidRPr="0056312C" w:rsidRDefault="0056312C" w:rsidP="0056312C">
            <w:pPr>
              <w:spacing w:after="0" w:line="240" w:lineRule="auto"/>
              <w:jc w:val="right"/>
              <w:rPr>
                <w:rFonts w:eastAsia="Times New Roman"/>
                <w:b w:val="0"/>
                <w:bCs/>
                <w:color w:val="000000"/>
                <w:highlight w:val="red"/>
                <w:lang w:val="fr-FR" w:eastAsia="fr-FR"/>
              </w:rPr>
            </w:pPr>
            <w:r w:rsidRPr="0056312C">
              <w:rPr>
                <w:rFonts w:eastAsia="Times New Roman"/>
                <w:b w:val="0"/>
                <w:color w:val="000000"/>
                <w:lang w:val="fr-FR" w:eastAsia="fr-FR"/>
              </w:rPr>
              <w:t>-2,0%</w:t>
            </w:r>
          </w:p>
        </w:tc>
        <w:tc>
          <w:tcPr>
            <w:tcW w:w="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12C" w:rsidRPr="0056312C" w:rsidRDefault="0056312C" w:rsidP="0056312C">
            <w:pPr>
              <w:spacing w:after="0" w:line="240" w:lineRule="auto"/>
              <w:jc w:val="right"/>
              <w:rPr>
                <w:rFonts w:eastAsia="Times New Roman"/>
                <w:b w:val="0"/>
                <w:bCs/>
                <w:color w:val="000000"/>
                <w:highlight w:val="red"/>
                <w:lang w:val="fr-FR" w:eastAsia="fr-FR"/>
              </w:rPr>
            </w:pPr>
            <w:r w:rsidRPr="0056312C">
              <w:rPr>
                <w:rFonts w:eastAsia="Times New Roman"/>
                <w:b w:val="0"/>
                <w:color w:val="000000"/>
                <w:lang w:val="fr-FR" w:eastAsia="fr-FR"/>
              </w:rPr>
              <w:t>-0,9%</w:t>
            </w:r>
          </w:p>
        </w:tc>
        <w:tc>
          <w:tcPr>
            <w:tcW w:w="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12C" w:rsidRPr="0056312C" w:rsidRDefault="0056312C" w:rsidP="0056312C">
            <w:pPr>
              <w:spacing w:after="0" w:line="240" w:lineRule="auto"/>
              <w:jc w:val="right"/>
              <w:rPr>
                <w:rFonts w:eastAsia="Times New Roman"/>
                <w:b w:val="0"/>
                <w:bCs/>
                <w:color w:val="000000"/>
                <w:highlight w:val="red"/>
                <w:lang w:val="fr-FR" w:eastAsia="fr-FR"/>
              </w:rPr>
            </w:pPr>
            <w:r w:rsidRPr="0056312C">
              <w:rPr>
                <w:rFonts w:eastAsia="Times New Roman"/>
                <w:b w:val="0"/>
                <w:color w:val="000000"/>
                <w:lang w:val="fr-FR" w:eastAsia="fr-FR"/>
              </w:rPr>
              <w:t>-1,0%</w:t>
            </w:r>
          </w:p>
        </w:tc>
        <w:tc>
          <w:tcPr>
            <w:tcW w:w="95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312C" w:rsidRPr="0056312C" w:rsidRDefault="0056312C" w:rsidP="0056312C">
            <w:pPr>
              <w:spacing w:after="0" w:line="240" w:lineRule="auto"/>
              <w:jc w:val="right"/>
              <w:rPr>
                <w:rFonts w:eastAsia="Times New Roman"/>
                <w:b w:val="0"/>
                <w:bCs/>
                <w:color w:val="000000"/>
                <w:highlight w:val="red"/>
                <w:lang w:val="fr-FR" w:eastAsia="fr-FR"/>
              </w:rPr>
            </w:pPr>
            <w:r w:rsidRPr="0056312C">
              <w:rPr>
                <w:rFonts w:eastAsia="Times New Roman"/>
                <w:b w:val="0"/>
                <w:color w:val="000000"/>
                <w:lang w:val="fr-FR" w:eastAsia="fr-FR"/>
              </w:rPr>
              <w:t>-0,8%</w:t>
            </w:r>
          </w:p>
        </w:tc>
      </w:tr>
    </w:tbl>
    <w:p w:rsidR="0056312C" w:rsidRPr="0056312C" w:rsidRDefault="0056312C" w:rsidP="0056312C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7030A0"/>
          <w:u w:val="single"/>
          <w:lang w:val="fr-FR" w:eastAsia="fr-FR"/>
        </w:rPr>
      </w:pPr>
    </w:p>
    <w:p w:rsidR="00C426E5" w:rsidRDefault="00C426E5"/>
    <w:sectPr w:rsidR="00C426E5" w:rsidSect="0056312C">
      <w:headerReference w:type="even" r:id="rId6"/>
      <w:footerReference w:type="even" r:id="rId7"/>
      <w:footerReference w:type="default" r:id="rId8"/>
      <w:endnotePr>
        <w:numFmt w:val="decimal"/>
      </w:endnotePr>
      <w:pgSz w:w="11907" w:h="16840" w:code="199"/>
      <w:pgMar w:top="1418" w:right="1417" w:bottom="1418" w:left="1418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16A" w:rsidRDefault="0014616A">
      <w:pPr>
        <w:spacing w:after="0" w:line="240" w:lineRule="auto"/>
      </w:pPr>
      <w:r>
        <w:separator/>
      </w:r>
    </w:p>
  </w:endnote>
  <w:endnote w:type="continuationSeparator" w:id="0">
    <w:p w:rsidR="0014616A" w:rsidRDefault="00146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458" w:rsidRDefault="0064145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41458" w:rsidRDefault="0064145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458" w:rsidRDefault="00641458">
    <w:pPr>
      <w:pStyle w:val="Pieddepage"/>
      <w:jc w:val="center"/>
    </w:pPr>
    <w:r w:rsidRPr="008768EF">
      <w:rPr>
        <w:sz w:val="20"/>
      </w:rPr>
      <w:fldChar w:fldCharType="begin"/>
    </w:r>
    <w:r w:rsidRPr="008768EF">
      <w:rPr>
        <w:sz w:val="20"/>
      </w:rPr>
      <w:instrText>PAGE   \* MERGEFORMAT</w:instrText>
    </w:r>
    <w:r w:rsidRPr="008768EF">
      <w:rPr>
        <w:sz w:val="20"/>
      </w:rPr>
      <w:fldChar w:fldCharType="separate"/>
    </w:r>
    <w:r w:rsidR="002232AD">
      <w:rPr>
        <w:noProof/>
        <w:sz w:val="20"/>
      </w:rPr>
      <w:t>1</w:t>
    </w:r>
    <w:r w:rsidRPr="008768EF">
      <w:rPr>
        <w:sz w:val="20"/>
      </w:rPr>
      <w:fldChar w:fldCharType="end"/>
    </w:r>
  </w:p>
  <w:p w:rsidR="00641458" w:rsidRDefault="00641458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16A" w:rsidRDefault="0014616A">
      <w:pPr>
        <w:spacing w:after="0" w:line="240" w:lineRule="auto"/>
      </w:pPr>
      <w:r>
        <w:separator/>
      </w:r>
    </w:p>
  </w:footnote>
  <w:footnote w:type="continuationSeparator" w:id="0">
    <w:p w:rsidR="0014616A" w:rsidRDefault="00146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458" w:rsidRDefault="00641458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103</w:t>
    </w:r>
    <w:r>
      <w:rPr>
        <w:rStyle w:val="Numrodepage"/>
      </w:rPr>
      <w:fldChar w:fldCharType="end"/>
    </w:r>
  </w:p>
  <w:p w:rsidR="00641458" w:rsidRDefault="0064145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TrueTypeFonts/>
  <w:saveSubsetFonts/>
  <w:revisionView w:inkAnnotations="0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312C"/>
    <w:rsid w:val="0014616A"/>
    <w:rsid w:val="002232AD"/>
    <w:rsid w:val="0056312C"/>
    <w:rsid w:val="00641458"/>
    <w:rsid w:val="00C426E5"/>
    <w:rsid w:val="00DD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7C782C8-A622-4599-9E7B-985202FC7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b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563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6312C"/>
  </w:style>
  <w:style w:type="paragraph" w:styleId="Pieddepage">
    <w:name w:val="footer"/>
    <w:basedOn w:val="Normal"/>
    <w:link w:val="PieddepageCar"/>
    <w:uiPriority w:val="99"/>
    <w:semiHidden/>
    <w:unhideWhenUsed/>
    <w:rsid w:val="00563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6312C"/>
  </w:style>
  <w:style w:type="character" w:styleId="Numrodepage">
    <w:name w:val="page number"/>
    <w:rsid w:val="00563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DP8081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8081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/sftpecos/Dossiers_parlementaires/8081/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1CC0B5E4-99FB-4262-BC52-DA0C757EEB5F}"/>
</file>

<file path=customXml/itemProps2.xml><?xml version="1.0" encoding="utf-8"?>
<ds:datastoreItem xmlns:ds="http://schemas.openxmlformats.org/officeDocument/2006/customXml" ds:itemID="{915E7004-436C-4460-B104-44CB9DC4A0DB}"/>
</file>

<file path=customXml/itemProps3.xml><?xml version="1.0" encoding="utf-8"?>
<ds:datastoreItem xmlns:ds="http://schemas.openxmlformats.org/officeDocument/2006/customXml" ds:itemID="{945E626C-F299-4A04-A147-9B5E6E22B7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735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Magda SANTOS</dc:creator>
  <cp:keywords/>
  <dc:description/>
  <cp:lastModifiedBy>SYSTEM</cp:lastModifiedBy>
  <cp:revision>2</cp:revision>
  <dcterms:created xsi:type="dcterms:W3CDTF">2024-02-21T08:00:00Z</dcterms:created>
  <dcterms:modified xsi:type="dcterms:W3CDTF">2024-02-21T08:00:00Z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