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9E8" w:rsidRPr="00A831C9" w:rsidRDefault="00B359E8" w:rsidP="00A240EA">
      <w:pPr>
        <w:tabs>
          <w:tab w:val="left" w:pos="10080"/>
          <w:tab w:val="left" w:pos="10800"/>
        </w:tabs>
        <w:ind w:right="-34"/>
        <w:jc w:val="both"/>
        <w:rPr>
          <w:rFonts w:cs="Arial"/>
          <w:b/>
          <w:snapToGrid w:val="0"/>
          <w:color w:val="auto"/>
          <w:sz w:val="22"/>
          <w:szCs w:val="22"/>
        </w:rPr>
      </w:pPr>
      <w:bookmarkStart w:id="0" w:name="_Hlk58182979"/>
      <w:bookmarkStart w:id="1" w:name="_GoBack"/>
      <w:bookmarkEnd w:id="1"/>
      <w:r w:rsidRPr="00A831C9">
        <w:rPr>
          <w:rFonts w:cs="Arial"/>
          <w:b/>
          <w:snapToGrid w:val="0"/>
          <w:color w:val="auto"/>
          <w:sz w:val="22"/>
          <w:szCs w:val="22"/>
          <w:lang w:val="fr-LU"/>
        </w:rPr>
        <w:t xml:space="preserve">Projet de loi concernant le budget des recettes et des dépenses de </w:t>
      </w:r>
      <w:r w:rsidRPr="00A831C9">
        <w:rPr>
          <w:rFonts w:cs="Arial"/>
          <w:b/>
          <w:color w:val="auto"/>
          <w:sz w:val="22"/>
          <w:szCs w:val="22"/>
          <w:lang w:val="fr-LU"/>
        </w:rPr>
        <w:t>l’État</w:t>
      </w:r>
      <w:r w:rsidR="00A240EA" w:rsidRPr="00A831C9">
        <w:rPr>
          <w:rFonts w:cs="Arial"/>
          <w:b/>
          <w:color w:val="auto"/>
          <w:sz w:val="22"/>
          <w:szCs w:val="22"/>
          <w:lang w:val="fr-LU"/>
        </w:rPr>
        <w:t xml:space="preserve"> </w:t>
      </w:r>
      <w:r w:rsidRPr="00A831C9">
        <w:rPr>
          <w:rFonts w:cs="Arial"/>
          <w:b/>
          <w:snapToGrid w:val="0"/>
          <w:color w:val="auto"/>
          <w:sz w:val="22"/>
          <w:szCs w:val="22"/>
        </w:rPr>
        <w:t>pour l’exercice 202</w:t>
      </w:r>
      <w:r w:rsidR="002F5A00" w:rsidRPr="00A831C9">
        <w:rPr>
          <w:rFonts w:cs="Arial"/>
          <w:b/>
          <w:snapToGrid w:val="0"/>
          <w:color w:val="auto"/>
          <w:sz w:val="22"/>
          <w:szCs w:val="22"/>
        </w:rPr>
        <w:t>3</w:t>
      </w:r>
      <w:r w:rsidR="008F1EF6" w:rsidRPr="00A831C9">
        <w:rPr>
          <w:rFonts w:cs="Arial"/>
          <w:b/>
          <w:snapToGrid w:val="0"/>
          <w:color w:val="auto"/>
          <w:sz w:val="22"/>
          <w:szCs w:val="22"/>
        </w:rPr>
        <w:t xml:space="preserve"> </w:t>
      </w:r>
      <w:r w:rsidRPr="00A831C9">
        <w:rPr>
          <w:rFonts w:cs="Arial"/>
          <w:b/>
          <w:bCs/>
          <w:color w:val="auto"/>
          <w:sz w:val="22"/>
          <w:szCs w:val="22"/>
        </w:rPr>
        <w:t>et modifiant :</w:t>
      </w:r>
    </w:p>
    <w:p w:rsidR="002E04D8" w:rsidRPr="00BA7BE0" w:rsidRDefault="002E04D8" w:rsidP="002E04D8">
      <w:pPr>
        <w:numPr>
          <w:ilvl w:val="0"/>
          <w:numId w:val="25"/>
        </w:numPr>
        <w:contextualSpacing/>
        <w:jc w:val="both"/>
        <w:rPr>
          <w:rFonts w:eastAsia="Calibri" w:cs="Calibri"/>
          <w:b/>
          <w:bCs/>
          <w:sz w:val="22"/>
          <w:szCs w:val="22"/>
        </w:rPr>
      </w:pPr>
      <w:r w:rsidRPr="00BA7BE0">
        <w:rPr>
          <w:rFonts w:eastAsia="Calibri" w:cs="Calibri"/>
          <w:b/>
          <w:bCs/>
          <w:sz w:val="22"/>
          <w:szCs w:val="22"/>
        </w:rPr>
        <w:t>la loi générale des impôts modifiée du 22 mai 1931 (« Abgabenordnung ») ;</w:t>
      </w:r>
    </w:p>
    <w:p w:rsidR="002E04D8" w:rsidRPr="00BA7BE0" w:rsidRDefault="002E04D8" w:rsidP="002E04D8">
      <w:pPr>
        <w:numPr>
          <w:ilvl w:val="0"/>
          <w:numId w:val="25"/>
        </w:numPr>
        <w:contextualSpacing/>
        <w:jc w:val="both"/>
        <w:rPr>
          <w:rFonts w:eastAsia="Calibri" w:cs="Calibri"/>
          <w:b/>
          <w:bCs/>
          <w:sz w:val="22"/>
          <w:szCs w:val="22"/>
        </w:rPr>
      </w:pPr>
      <w:r w:rsidRPr="00BA7BE0">
        <w:rPr>
          <w:rFonts w:eastAsia="Calibri" w:cs="Calibri"/>
          <w:b/>
          <w:bCs/>
          <w:sz w:val="22"/>
          <w:szCs w:val="22"/>
        </w:rPr>
        <w:t>la loi modifiée du 4 décembre 1967 concernant l’impôt sur le revenu ;</w:t>
      </w:r>
    </w:p>
    <w:p w:rsidR="002E04D8" w:rsidRPr="00BA7BE0" w:rsidRDefault="002E04D8" w:rsidP="002E04D8">
      <w:pPr>
        <w:numPr>
          <w:ilvl w:val="0"/>
          <w:numId w:val="25"/>
        </w:numPr>
        <w:contextualSpacing/>
        <w:jc w:val="both"/>
        <w:rPr>
          <w:rFonts w:eastAsia="Calibri" w:cs="Calibri"/>
          <w:b/>
          <w:bCs/>
          <w:sz w:val="22"/>
          <w:szCs w:val="22"/>
        </w:rPr>
      </w:pPr>
      <w:r w:rsidRPr="00BA7BE0">
        <w:rPr>
          <w:rFonts w:eastAsia="Calibri" w:cs="Calibri"/>
          <w:b/>
          <w:bCs/>
          <w:sz w:val="22"/>
          <w:szCs w:val="22"/>
        </w:rPr>
        <w:t>la loi modifiée du 12 février 1979 concernant la taxe sur la valeur ajoutée ;</w:t>
      </w:r>
    </w:p>
    <w:p w:rsidR="002E04D8" w:rsidRPr="00BA7BE0" w:rsidRDefault="002E04D8" w:rsidP="002E04D8">
      <w:pPr>
        <w:numPr>
          <w:ilvl w:val="0"/>
          <w:numId w:val="25"/>
        </w:numPr>
        <w:contextualSpacing/>
        <w:jc w:val="both"/>
        <w:rPr>
          <w:rFonts w:eastAsia="Calibri" w:cs="Calibri"/>
          <w:b/>
          <w:bCs/>
          <w:sz w:val="22"/>
          <w:szCs w:val="22"/>
        </w:rPr>
      </w:pPr>
      <w:r w:rsidRPr="00BA7BE0">
        <w:rPr>
          <w:rFonts w:eastAsia="Calibri" w:cs="Calibri"/>
          <w:b/>
          <w:bCs/>
          <w:sz w:val="22"/>
          <w:szCs w:val="22"/>
        </w:rPr>
        <w:t>la loi modifiée du 21 décembre 1998 concernant le budget des recettes et des dépenses de l’Etat pour l’exercice 1999 ;</w:t>
      </w:r>
    </w:p>
    <w:p w:rsidR="002E04D8" w:rsidRPr="00BA7BE0" w:rsidRDefault="002E04D8" w:rsidP="002E04D8">
      <w:pPr>
        <w:numPr>
          <w:ilvl w:val="0"/>
          <w:numId w:val="25"/>
        </w:numPr>
        <w:jc w:val="both"/>
        <w:rPr>
          <w:rFonts w:eastAsia="Calibri" w:cs="Calibri"/>
          <w:b/>
          <w:bCs/>
          <w:sz w:val="22"/>
          <w:szCs w:val="22"/>
        </w:rPr>
      </w:pPr>
      <w:r w:rsidRPr="00BA7BE0">
        <w:rPr>
          <w:rFonts w:eastAsia="Calibri" w:cs="Calibri"/>
          <w:b/>
          <w:bCs/>
          <w:sz w:val="22"/>
          <w:szCs w:val="22"/>
        </w:rPr>
        <w:t>la loi modifiée du 23 décembre 2005 portant introduction d’une retenue à la source libératoire sur certains intérêts produits par l’épargne mobilière ;</w:t>
      </w:r>
    </w:p>
    <w:p w:rsidR="002E04D8" w:rsidRPr="00BA7BE0" w:rsidRDefault="002E04D8" w:rsidP="002E04D8">
      <w:pPr>
        <w:numPr>
          <w:ilvl w:val="0"/>
          <w:numId w:val="25"/>
        </w:numPr>
        <w:jc w:val="both"/>
        <w:rPr>
          <w:rFonts w:eastAsia="Calibri" w:cs="Calibri"/>
          <w:b/>
          <w:bCs/>
          <w:sz w:val="22"/>
          <w:szCs w:val="22"/>
        </w:rPr>
      </w:pPr>
      <w:r w:rsidRPr="00BA7BE0">
        <w:rPr>
          <w:rFonts w:eastAsia="Calibri" w:cs="Calibri"/>
          <w:b/>
          <w:bCs/>
          <w:sz w:val="22"/>
          <w:szCs w:val="22"/>
        </w:rPr>
        <w:t>la loi modifiée du 18 décembre 2009 organisant l’aide sociale ;</w:t>
      </w:r>
    </w:p>
    <w:p w:rsidR="002E04D8" w:rsidRPr="00BA7BE0" w:rsidRDefault="002E04D8" w:rsidP="002E04D8">
      <w:pPr>
        <w:numPr>
          <w:ilvl w:val="0"/>
          <w:numId w:val="25"/>
        </w:numPr>
        <w:contextualSpacing/>
        <w:jc w:val="both"/>
        <w:rPr>
          <w:rFonts w:eastAsia="Calibri" w:cs="Calibri"/>
          <w:b/>
          <w:bCs/>
          <w:sz w:val="22"/>
          <w:szCs w:val="22"/>
        </w:rPr>
      </w:pPr>
      <w:r w:rsidRPr="00BA7BE0">
        <w:rPr>
          <w:rFonts w:eastAsia="Calibri" w:cs="Calibri"/>
          <w:b/>
          <w:bCs/>
          <w:sz w:val="22"/>
          <w:szCs w:val="22"/>
        </w:rPr>
        <w:t>la loi modifiée du 17 décembre 2010 fixant les droits d’accise et les taxes assimilées sur les produits énergétiques, l’électricité, les produits de tabacs manufacturés, l’alcool et les boissons alcooliques ;</w:t>
      </w:r>
    </w:p>
    <w:p w:rsidR="002E04D8" w:rsidRPr="00BA7BE0" w:rsidRDefault="002E04D8" w:rsidP="002E04D8">
      <w:pPr>
        <w:numPr>
          <w:ilvl w:val="0"/>
          <w:numId w:val="25"/>
        </w:numPr>
        <w:contextualSpacing/>
        <w:jc w:val="both"/>
        <w:rPr>
          <w:rFonts w:eastAsia="Calibri" w:cs="Calibri"/>
          <w:b/>
          <w:bCs/>
          <w:sz w:val="22"/>
          <w:szCs w:val="22"/>
        </w:rPr>
      </w:pPr>
      <w:r w:rsidRPr="00BA7BE0">
        <w:rPr>
          <w:rFonts w:cs="Calibri"/>
          <w:b/>
          <w:sz w:val="22"/>
          <w:szCs w:val="22"/>
        </w:rPr>
        <w:t>loi modifiée du 17 décembre 2010 concernant les organismes de placement collectif</w:t>
      </w:r>
    </w:p>
    <w:p w:rsidR="002E04D8" w:rsidRPr="00BA7BE0" w:rsidRDefault="002E04D8" w:rsidP="002E04D8">
      <w:pPr>
        <w:numPr>
          <w:ilvl w:val="0"/>
          <w:numId w:val="25"/>
        </w:numPr>
        <w:contextualSpacing/>
        <w:jc w:val="both"/>
        <w:rPr>
          <w:rFonts w:eastAsia="Calibri" w:cs="Calibri"/>
          <w:b/>
          <w:bCs/>
          <w:sz w:val="22"/>
          <w:szCs w:val="22"/>
        </w:rPr>
      </w:pPr>
      <w:r w:rsidRPr="00BA7BE0">
        <w:rPr>
          <w:rFonts w:eastAsia="Calibri" w:cs="Calibri"/>
          <w:b/>
          <w:bCs/>
          <w:sz w:val="22"/>
          <w:szCs w:val="22"/>
        </w:rPr>
        <w:t>la loi modifiée du 27 mars 2018 portant organisation de la sécurité civile ;</w:t>
      </w:r>
    </w:p>
    <w:p w:rsidR="002E04D8" w:rsidRPr="00BA7BE0" w:rsidRDefault="002E04D8" w:rsidP="002E04D8">
      <w:pPr>
        <w:numPr>
          <w:ilvl w:val="0"/>
          <w:numId w:val="25"/>
        </w:numPr>
        <w:contextualSpacing/>
        <w:jc w:val="both"/>
        <w:rPr>
          <w:rFonts w:eastAsia="Calibri" w:cs="Calibri"/>
          <w:b/>
          <w:bCs/>
          <w:sz w:val="22"/>
          <w:szCs w:val="22"/>
        </w:rPr>
      </w:pPr>
      <w:r w:rsidRPr="00BA7BE0">
        <w:rPr>
          <w:rFonts w:eastAsia="Calibri" w:cs="Calibri"/>
          <w:b/>
          <w:bCs/>
          <w:sz w:val="22"/>
          <w:szCs w:val="22"/>
        </w:rPr>
        <w:t>la loi modifié du 25 mars 2020 portant création du Fonds spécial de soutien au développement du logement ;</w:t>
      </w:r>
    </w:p>
    <w:p w:rsidR="002E04D8" w:rsidRPr="00BA7BE0" w:rsidRDefault="002E04D8" w:rsidP="002E04D8">
      <w:pPr>
        <w:numPr>
          <w:ilvl w:val="0"/>
          <w:numId w:val="25"/>
        </w:numPr>
        <w:contextualSpacing/>
        <w:jc w:val="both"/>
        <w:rPr>
          <w:rFonts w:eastAsia="Calibri" w:cs="Calibri"/>
          <w:b/>
          <w:bCs/>
          <w:sz w:val="22"/>
          <w:szCs w:val="22"/>
        </w:rPr>
      </w:pPr>
      <w:r w:rsidRPr="00BA7BE0">
        <w:rPr>
          <w:rFonts w:eastAsia="Calibri" w:cs="Calibri"/>
          <w:b/>
          <w:bCs/>
          <w:sz w:val="22"/>
          <w:szCs w:val="22"/>
        </w:rPr>
        <w:t>la loi du 30 juillet 2021 relative au Pacte Logement 2.0.</w:t>
      </w:r>
    </w:p>
    <w:p w:rsidR="00A318E4" w:rsidRDefault="00A318E4" w:rsidP="00A318E4">
      <w:pPr>
        <w:tabs>
          <w:tab w:val="left" w:pos="284"/>
        </w:tabs>
        <w:autoSpaceDE w:val="0"/>
        <w:autoSpaceDN w:val="0"/>
        <w:adjustRightInd w:val="0"/>
        <w:rPr>
          <w:rFonts w:cs="Arial"/>
          <w:b/>
          <w:bCs/>
          <w:color w:val="7030A0"/>
          <w:sz w:val="22"/>
          <w:szCs w:val="22"/>
        </w:rPr>
      </w:pPr>
    </w:p>
    <w:p w:rsidR="00525E23" w:rsidRPr="00525E23" w:rsidRDefault="00525E23" w:rsidP="00A318E4">
      <w:pPr>
        <w:tabs>
          <w:tab w:val="left" w:pos="284"/>
        </w:tabs>
        <w:autoSpaceDE w:val="0"/>
        <w:autoSpaceDN w:val="0"/>
        <w:adjustRightInd w:val="0"/>
        <w:rPr>
          <w:rFonts w:cs="Arial"/>
          <w:b/>
          <w:bCs/>
          <w:color w:val="7030A0"/>
          <w:sz w:val="22"/>
          <w:szCs w:val="22"/>
        </w:rPr>
      </w:pPr>
    </w:p>
    <w:bookmarkEnd w:id="0"/>
    <w:p w:rsidR="002F5A00" w:rsidRPr="002F5A00" w:rsidRDefault="002F5A00" w:rsidP="003F0650">
      <w:pPr>
        <w:widowControl w:val="0"/>
        <w:tabs>
          <w:tab w:val="left" w:pos="10080"/>
          <w:tab w:val="left" w:pos="10800"/>
        </w:tabs>
        <w:ind w:right="159"/>
        <w:jc w:val="both"/>
        <w:rPr>
          <w:rFonts w:eastAsia="Calibri" w:cs="Arial"/>
          <w:sz w:val="22"/>
          <w:szCs w:val="22"/>
        </w:rPr>
      </w:pPr>
      <w:r w:rsidRPr="002F5A00">
        <w:rPr>
          <w:rFonts w:eastAsia="Calibri" w:cs="Arial"/>
          <w:sz w:val="22"/>
          <w:szCs w:val="22"/>
        </w:rPr>
        <w:t>Le budget de l'État pour l'exercice 2023 est arrêté aux montants suivants :</w:t>
      </w:r>
    </w:p>
    <w:p w:rsidR="002F5A00" w:rsidRPr="002F5A00" w:rsidRDefault="002F5A00" w:rsidP="002F5A00">
      <w:pPr>
        <w:widowControl w:val="0"/>
        <w:tabs>
          <w:tab w:val="left" w:pos="10080"/>
          <w:tab w:val="left" w:pos="10800"/>
        </w:tabs>
        <w:ind w:right="159" w:firstLine="426"/>
        <w:jc w:val="both"/>
        <w:rPr>
          <w:rFonts w:eastAsia="Calibri" w:cs="Arial"/>
          <w:sz w:val="22"/>
          <w:szCs w:val="22"/>
        </w:rPr>
      </w:pPr>
    </w:p>
    <w:tbl>
      <w:tblPr>
        <w:tblW w:w="10489" w:type="dxa"/>
        <w:tblInd w:w="213" w:type="dxa"/>
        <w:tblLayout w:type="fixed"/>
        <w:tblCellMar>
          <w:left w:w="71" w:type="dxa"/>
          <w:right w:w="71" w:type="dxa"/>
        </w:tblCellMar>
        <w:tblLook w:val="0000" w:firstRow="0" w:lastRow="0" w:firstColumn="0" w:lastColumn="0" w:noHBand="0" w:noVBand="0"/>
      </w:tblPr>
      <w:tblGrid>
        <w:gridCol w:w="4182"/>
        <w:gridCol w:w="1984"/>
        <w:gridCol w:w="709"/>
        <w:gridCol w:w="921"/>
        <w:gridCol w:w="709"/>
        <w:gridCol w:w="1984"/>
      </w:tblGrid>
      <w:tr w:rsidR="002F5A00" w:rsidRPr="002F5A00" w:rsidTr="002F5A00">
        <w:tc>
          <w:tcPr>
            <w:tcW w:w="4182" w:type="dxa"/>
          </w:tcPr>
          <w:p w:rsidR="002F5A00" w:rsidRPr="002F5A00" w:rsidRDefault="002F5A00" w:rsidP="00A36E95">
            <w:pPr>
              <w:widowControl w:val="0"/>
              <w:tabs>
                <w:tab w:val="left" w:leader="dot" w:pos="3401"/>
                <w:tab w:val="left" w:pos="10080"/>
                <w:tab w:val="left" w:pos="10800"/>
              </w:tabs>
              <w:jc w:val="both"/>
              <w:rPr>
                <w:rFonts w:eastAsia="Calibri" w:cs="Arial"/>
                <w:sz w:val="22"/>
                <w:szCs w:val="22"/>
              </w:rPr>
            </w:pPr>
            <w:r w:rsidRPr="002F5A00">
              <w:rPr>
                <w:rFonts w:eastAsia="Calibri" w:cs="Arial"/>
                <w:sz w:val="22"/>
                <w:szCs w:val="22"/>
              </w:rPr>
              <w:t>- Recettes courantes</w:t>
            </w:r>
            <w:r w:rsidRPr="002F5A00">
              <w:rPr>
                <w:rFonts w:eastAsia="Calibri" w:cs="Arial"/>
                <w:sz w:val="22"/>
                <w:szCs w:val="22"/>
              </w:rPr>
              <w:tab/>
            </w:r>
          </w:p>
        </w:tc>
        <w:tc>
          <w:tcPr>
            <w:tcW w:w="1984" w:type="dxa"/>
          </w:tcPr>
          <w:p w:rsidR="002F5A00" w:rsidRPr="002F5A00" w:rsidRDefault="002F5A00" w:rsidP="00A36E95">
            <w:pPr>
              <w:widowControl w:val="0"/>
              <w:tabs>
                <w:tab w:val="left" w:pos="10080"/>
                <w:tab w:val="left" w:pos="10800"/>
              </w:tabs>
              <w:jc w:val="right"/>
              <w:rPr>
                <w:rFonts w:eastAsia="Calibri" w:cs="Arial"/>
                <w:sz w:val="22"/>
                <w:szCs w:val="22"/>
              </w:rPr>
            </w:pPr>
            <w:r w:rsidRPr="002F5A00">
              <w:rPr>
                <w:rFonts w:eastAsia="Calibri" w:cs="Arial"/>
                <w:sz w:val="22"/>
                <w:szCs w:val="22"/>
              </w:rPr>
              <w:t>21 480 269 006</w:t>
            </w:r>
          </w:p>
        </w:tc>
        <w:tc>
          <w:tcPr>
            <w:tcW w:w="709" w:type="dxa"/>
          </w:tcPr>
          <w:p w:rsidR="002F5A00" w:rsidRPr="002F5A00" w:rsidRDefault="002F5A00" w:rsidP="00A36E95">
            <w:pPr>
              <w:widowControl w:val="0"/>
              <w:tabs>
                <w:tab w:val="left" w:pos="10080"/>
                <w:tab w:val="left" w:pos="10800"/>
              </w:tabs>
              <w:jc w:val="both"/>
              <w:rPr>
                <w:rFonts w:eastAsia="Calibri" w:cs="Arial"/>
                <w:sz w:val="22"/>
                <w:szCs w:val="22"/>
              </w:rPr>
            </w:pPr>
            <w:r w:rsidRPr="002F5A00">
              <w:rPr>
                <w:rFonts w:eastAsia="Calibri" w:cs="Arial"/>
                <w:sz w:val="22"/>
                <w:szCs w:val="22"/>
              </w:rPr>
              <w:t>euros</w:t>
            </w:r>
          </w:p>
        </w:tc>
        <w:tc>
          <w:tcPr>
            <w:tcW w:w="921" w:type="dxa"/>
          </w:tcPr>
          <w:p w:rsidR="002F5A00" w:rsidRPr="002F5A00" w:rsidRDefault="002F5A00" w:rsidP="00A36E95">
            <w:pPr>
              <w:widowControl w:val="0"/>
              <w:tabs>
                <w:tab w:val="left" w:pos="10080"/>
                <w:tab w:val="left" w:pos="10800"/>
              </w:tabs>
              <w:jc w:val="right"/>
              <w:rPr>
                <w:rFonts w:eastAsia="Calibri" w:cs="Arial"/>
                <w:sz w:val="22"/>
                <w:szCs w:val="22"/>
              </w:rPr>
            </w:pPr>
          </w:p>
        </w:tc>
        <w:tc>
          <w:tcPr>
            <w:tcW w:w="709" w:type="dxa"/>
          </w:tcPr>
          <w:p w:rsidR="002F5A00" w:rsidRPr="002F5A00" w:rsidRDefault="002F5A00" w:rsidP="00A36E95">
            <w:pPr>
              <w:widowControl w:val="0"/>
              <w:tabs>
                <w:tab w:val="left" w:pos="10080"/>
                <w:tab w:val="left" w:pos="10800"/>
              </w:tabs>
              <w:jc w:val="both"/>
              <w:rPr>
                <w:rFonts w:eastAsia="Calibri" w:cs="Arial"/>
                <w:sz w:val="22"/>
                <w:szCs w:val="22"/>
              </w:rPr>
            </w:pPr>
          </w:p>
        </w:tc>
        <w:tc>
          <w:tcPr>
            <w:tcW w:w="1984" w:type="dxa"/>
          </w:tcPr>
          <w:p w:rsidR="002F5A00" w:rsidRPr="002F5A00" w:rsidRDefault="002F5A00" w:rsidP="00A36E95">
            <w:pPr>
              <w:widowControl w:val="0"/>
              <w:tabs>
                <w:tab w:val="left" w:pos="10080"/>
                <w:tab w:val="left" w:pos="10800"/>
              </w:tabs>
              <w:rPr>
                <w:rFonts w:eastAsia="Calibri" w:cs="Arial"/>
                <w:sz w:val="22"/>
                <w:szCs w:val="22"/>
              </w:rPr>
            </w:pPr>
          </w:p>
        </w:tc>
      </w:tr>
      <w:tr w:rsidR="002F5A00" w:rsidRPr="002F5A00" w:rsidTr="002F5A00">
        <w:tc>
          <w:tcPr>
            <w:tcW w:w="4182" w:type="dxa"/>
          </w:tcPr>
          <w:p w:rsidR="002F5A00" w:rsidRPr="002F5A00" w:rsidRDefault="002F5A00" w:rsidP="00A36E95">
            <w:pPr>
              <w:widowControl w:val="0"/>
              <w:tabs>
                <w:tab w:val="left" w:leader="dot" w:pos="3401"/>
                <w:tab w:val="left" w:pos="10080"/>
                <w:tab w:val="left" w:pos="10800"/>
              </w:tabs>
              <w:jc w:val="both"/>
              <w:rPr>
                <w:rFonts w:eastAsia="Calibri" w:cs="Arial"/>
                <w:sz w:val="22"/>
                <w:szCs w:val="22"/>
              </w:rPr>
            </w:pPr>
            <w:r w:rsidRPr="002F5A00">
              <w:rPr>
                <w:rFonts w:eastAsia="Calibri" w:cs="Arial"/>
                <w:sz w:val="22"/>
                <w:szCs w:val="22"/>
              </w:rPr>
              <w:t>- Recettes en capital</w:t>
            </w:r>
            <w:r w:rsidRPr="002F5A00">
              <w:rPr>
                <w:rFonts w:eastAsia="Calibri" w:cs="Arial"/>
                <w:sz w:val="22"/>
                <w:szCs w:val="22"/>
              </w:rPr>
              <w:tab/>
            </w:r>
          </w:p>
        </w:tc>
        <w:tc>
          <w:tcPr>
            <w:tcW w:w="1984" w:type="dxa"/>
          </w:tcPr>
          <w:p w:rsidR="002F5A00" w:rsidRPr="002F5A00" w:rsidRDefault="002F5A00" w:rsidP="00A36E95">
            <w:pPr>
              <w:widowControl w:val="0"/>
              <w:tabs>
                <w:tab w:val="left" w:pos="10080"/>
                <w:tab w:val="left" w:pos="10800"/>
              </w:tabs>
              <w:jc w:val="right"/>
              <w:rPr>
                <w:rFonts w:eastAsia="Calibri" w:cs="Arial"/>
                <w:sz w:val="22"/>
                <w:szCs w:val="22"/>
              </w:rPr>
            </w:pPr>
            <w:r w:rsidRPr="002F5A00">
              <w:rPr>
                <w:rFonts w:eastAsia="Calibri" w:cs="Arial"/>
                <w:sz w:val="22"/>
                <w:szCs w:val="22"/>
              </w:rPr>
              <w:t>112 377 963</w:t>
            </w:r>
          </w:p>
        </w:tc>
        <w:tc>
          <w:tcPr>
            <w:tcW w:w="709" w:type="dxa"/>
          </w:tcPr>
          <w:p w:rsidR="002F5A00" w:rsidRPr="002F5A00" w:rsidRDefault="002F5A00" w:rsidP="00A36E95">
            <w:pPr>
              <w:widowControl w:val="0"/>
              <w:tabs>
                <w:tab w:val="left" w:pos="10080"/>
                <w:tab w:val="left" w:pos="10800"/>
              </w:tabs>
              <w:jc w:val="both"/>
              <w:rPr>
                <w:rFonts w:eastAsia="Calibri" w:cs="Arial"/>
                <w:sz w:val="22"/>
                <w:szCs w:val="22"/>
              </w:rPr>
            </w:pPr>
            <w:r w:rsidRPr="002F5A00">
              <w:rPr>
                <w:rFonts w:eastAsia="Calibri" w:cs="Arial"/>
                <w:sz w:val="22"/>
                <w:szCs w:val="22"/>
              </w:rPr>
              <w:t>euros</w:t>
            </w:r>
          </w:p>
        </w:tc>
        <w:tc>
          <w:tcPr>
            <w:tcW w:w="921" w:type="dxa"/>
          </w:tcPr>
          <w:p w:rsidR="002F5A00" w:rsidRPr="002F5A00" w:rsidRDefault="002F5A00" w:rsidP="00A36E95">
            <w:pPr>
              <w:widowControl w:val="0"/>
              <w:tabs>
                <w:tab w:val="left" w:pos="10080"/>
                <w:tab w:val="left" w:pos="10800"/>
              </w:tabs>
              <w:jc w:val="right"/>
              <w:rPr>
                <w:rFonts w:eastAsia="Calibri" w:cs="Arial"/>
                <w:sz w:val="22"/>
                <w:szCs w:val="22"/>
              </w:rPr>
            </w:pPr>
          </w:p>
        </w:tc>
        <w:tc>
          <w:tcPr>
            <w:tcW w:w="709" w:type="dxa"/>
          </w:tcPr>
          <w:p w:rsidR="002F5A00" w:rsidRPr="002F5A00" w:rsidRDefault="002F5A00" w:rsidP="00A36E95">
            <w:pPr>
              <w:widowControl w:val="0"/>
              <w:tabs>
                <w:tab w:val="left" w:pos="10080"/>
                <w:tab w:val="left" w:pos="10800"/>
              </w:tabs>
              <w:jc w:val="both"/>
              <w:rPr>
                <w:rFonts w:eastAsia="Calibri" w:cs="Arial"/>
                <w:sz w:val="22"/>
                <w:szCs w:val="22"/>
              </w:rPr>
            </w:pPr>
          </w:p>
        </w:tc>
        <w:tc>
          <w:tcPr>
            <w:tcW w:w="1984" w:type="dxa"/>
          </w:tcPr>
          <w:p w:rsidR="002F5A00" w:rsidRPr="002F5A00" w:rsidRDefault="002F5A00" w:rsidP="00A36E95">
            <w:pPr>
              <w:widowControl w:val="0"/>
              <w:tabs>
                <w:tab w:val="left" w:pos="10080"/>
                <w:tab w:val="left" w:pos="10800"/>
              </w:tabs>
              <w:rPr>
                <w:rFonts w:eastAsia="Calibri" w:cs="Arial"/>
                <w:sz w:val="22"/>
                <w:szCs w:val="22"/>
              </w:rPr>
            </w:pPr>
          </w:p>
        </w:tc>
      </w:tr>
      <w:tr w:rsidR="002F5A00" w:rsidRPr="002F5A00" w:rsidTr="002F5A00">
        <w:trPr>
          <w:trHeight w:val="277"/>
        </w:trPr>
        <w:tc>
          <w:tcPr>
            <w:tcW w:w="4182" w:type="dxa"/>
          </w:tcPr>
          <w:p w:rsidR="002F5A00" w:rsidRPr="002F5A00" w:rsidRDefault="002F5A00" w:rsidP="00A36E95">
            <w:pPr>
              <w:widowControl w:val="0"/>
              <w:tabs>
                <w:tab w:val="left" w:leader="dot" w:pos="3401"/>
                <w:tab w:val="left" w:pos="10080"/>
                <w:tab w:val="left" w:pos="10800"/>
              </w:tabs>
              <w:rPr>
                <w:rFonts w:eastAsia="Calibri" w:cs="Arial"/>
                <w:sz w:val="22"/>
                <w:szCs w:val="22"/>
              </w:rPr>
            </w:pPr>
            <w:r w:rsidRPr="002F5A00">
              <w:rPr>
                <w:rFonts w:eastAsia="Calibri" w:cs="Arial"/>
                <w:sz w:val="22"/>
                <w:szCs w:val="22"/>
              </w:rPr>
              <w:t>- Recettes des opérations financières</w:t>
            </w:r>
          </w:p>
        </w:tc>
        <w:tc>
          <w:tcPr>
            <w:tcW w:w="1984" w:type="dxa"/>
          </w:tcPr>
          <w:p w:rsidR="002F5A00" w:rsidRPr="002F5A00" w:rsidRDefault="002F5A00" w:rsidP="00A36E95">
            <w:pPr>
              <w:widowControl w:val="0"/>
              <w:tabs>
                <w:tab w:val="left" w:pos="10080"/>
                <w:tab w:val="left" w:pos="10800"/>
              </w:tabs>
              <w:jc w:val="right"/>
              <w:rPr>
                <w:rFonts w:eastAsia="Calibri" w:cs="Arial"/>
                <w:sz w:val="22"/>
                <w:szCs w:val="22"/>
              </w:rPr>
            </w:pPr>
            <w:r w:rsidRPr="002F5A00">
              <w:rPr>
                <w:rFonts w:eastAsia="Calibri" w:cs="Arial"/>
                <w:sz w:val="22"/>
                <w:szCs w:val="22"/>
              </w:rPr>
              <w:t>4 661 381 700</w:t>
            </w:r>
          </w:p>
        </w:tc>
        <w:tc>
          <w:tcPr>
            <w:tcW w:w="709" w:type="dxa"/>
          </w:tcPr>
          <w:p w:rsidR="002F5A00" w:rsidRPr="002F5A00" w:rsidRDefault="002F5A00" w:rsidP="00A36E95">
            <w:pPr>
              <w:widowControl w:val="0"/>
              <w:tabs>
                <w:tab w:val="left" w:pos="10080"/>
                <w:tab w:val="left" w:pos="10800"/>
              </w:tabs>
              <w:jc w:val="both"/>
              <w:rPr>
                <w:rFonts w:eastAsia="Calibri" w:cs="Arial"/>
                <w:sz w:val="22"/>
                <w:szCs w:val="22"/>
              </w:rPr>
            </w:pPr>
            <w:r w:rsidRPr="002F5A00">
              <w:rPr>
                <w:rFonts w:eastAsia="Calibri" w:cs="Arial"/>
                <w:sz w:val="22"/>
                <w:szCs w:val="22"/>
              </w:rPr>
              <w:t>euros</w:t>
            </w:r>
          </w:p>
        </w:tc>
        <w:tc>
          <w:tcPr>
            <w:tcW w:w="921" w:type="dxa"/>
          </w:tcPr>
          <w:p w:rsidR="002F5A00" w:rsidRPr="002F5A00" w:rsidRDefault="002F5A00" w:rsidP="00A36E95">
            <w:pPr>
              <w:widowControl w:val="0"/>
              <w:tabs>
                <w:tab w:val="left" w:pos="10080"/>
                <w:tab w:val="left" w:pos="10800"/>
              </w:tabs>
              <w:jc w:val="right"/>
              <w:rPr>
                <w:rFonts w:eastAsia="Calibri" w:cs="Arial"/>
                <w:sz w:val="22"/>
                <w:szCs w:val="22"/>
              </w:rPr>
            </w:pPr>
          </w:p>
        </w:tc>
        <w:tc>
          <w:tcPr>
            <w:tcW w:w="709" w:type="dxa"/>
          </w:tcPr>
          <w:p w:rsidR="002F5A00" w:rsidRPr="002F5A00" w:rsidRDefault="002F5A00" w:rsidP="00A36E95">
            <w:pPr>
              <w:widowControl w:val="0"/>
              <w:tabs>
                <w:tab w:val="left" w:pos="10080"/>
                <w:tab w:val="left" w:pos="10800"/>
              </w:tabs>
              <w:jc w:val="both"/>
              <w:rPr>
                <w:rFonts w:eastAsia="Calibri" w:cs="Arial"/>
                <w:sz w:val="22"/>
                <w:szCs w:val="22"/>
              </w:rPr>
            </w:pPr>
          </w:p>
        </w:tc>
        <w:tc>
          <w:tcPr>
            <w:tcW w:w="1984" w:type="dxa"/>
          </w:tcPr>
          <w:p w:rsidR="002F5A00" w:rsidRPr="002F5A00" w:rsidRDefault="002F5A00" w:rsidP="00A36E95">
            <w:pPr>
              <w:widowControl w:val="0"/>
              <w:tabs>
                <w:tab w:val="left" w:pos="10080"/>
                <w:tab w:val="left" w:pos="10800"/>
              </w:tabs>
              <w:rPr>
                <w:rFonts w:eastAsia="Calibri" w:cs="Arial"/>
                <w:sz w:val="22"/>
                <w:szCs w:val="22"/>
              </w:rPr>
            </w:pPr>
          </w:p>
        </w:tc>
      </w:tr>
      <w:tr w:rsidR="002F5A00" w:rsidRPr="002F5A00" w:rsidTr="002F5A00">
        <w:trPr>
          <w:trHeight w:val="277"/>
        </w:trPr>
        <w:tc>
          <w:tcPr>
            <w:tcW w:w="4182" w:type="dxa"/>
          </w:tcPr>
          <w:p w:rsidR="002F5A00" w:rsidRPr="002F5A00" w:rsidRDefault="002F5A00" w:rsidP="00A36E95">
            <w:pPr>
              <w:widowControl w:val="0"/>
              <w:tabs>
                <w:tab w:val="left" w:leader="dot" w:pos="2835"/>
                <w:tab w:val="left" w:leader="dot" w:pos="3401"/>
                <w:tab w:val="left" w:pos="10080"/>
                <w:tab w:val="left" w:pos="10800"/>
              </w:tabs>
              <w:ind w:firstLine="737"/>
              <w:jc w:val="both"/>
              <w:rPr>
                <w:rFonts w:eastAsia="Calibri" w:cs="Arial"/>
                <w:sz w:val="22"/>
                <w:szCs w:val="22"/>
              </w:rPr>
            </w:pPr>
          </w:p>
        </w:tc>
        <w:tc>
          <w:tcPr>
            <w:tcW w:w="1984" w:type="dxa"/>
          </w:tcPr>
          <w:p w:rsidR="002F5A00" w:rsidRPr="002F5A00" w:rsidRDefault="002F5A00" w:rsidP="00A36E95">
            <w:pPr>
              <w:widowControl w:val="0"/>
              <w:tabs>
                <w:tab w:val="left" w:pos="10080"/>
                <w:tab w:val="left" w:pos="10800"/>
              </w:tabs>
              <w:jc w:val="right"/>
              <w:rPr>
                <w:rFonts w:eastAsia="Calibri" w:cs="Arial"/>
                <w:sz w:val="22"/>
                <w:szCs w:val="22"/>
              </w:rPr>
            </w:pPr>
          </w:p>
        </w:tc>
        <w:tc>
          <w:tcPr>
            <w:tcW w:w="709" w:type="dxa"/>
          </w:tcPr>
          <w:p w:rsidR="002F5A00" w:rsidRPr="002F5A00" w:rsidRDefault="002F5A00" w:rsidP="00A36E95">
            <w:pPr>
              <w:widowControl w:val="0"/>
              <w:tabs>
                <w:tab w:val="left" w:pos="10080"/>
                <w:tab w:val="left" w:pos="10800"/>
              </w:tabs>
              <w:jc w:val="both"/>
              <w:rPr>
                <w:rFonts w:eastAsia="Calibri" w:cs="Arial"/>
                <w:sz w:val="22"/>
                <w:szCs w:val="22"/>
              </w:rPr>
            </w:pPr>
          </w:p>
        </w:tc>
        <w:tc>
          <w:tcPr>
            <w:tcW w:w="921" w:type="dxa"/>
          </w:tcPr>
          <w:p w:rsidR="002F5A00" w:rsidRPr="002F5A00" w:rsidRDefault="002F5A00" w:rsidP="00A36E95">
            <w:pPr>
              <w:widowControl w:val="0"/>
              <w:tabs>
                <w:tab w:val="left" w:pos="10080"/>
                <w:tab w:val="left" w:pos="10800"/>
              </w:tabs>
              <w:jc w:val="right"/>
              <w:rPr>
                <w:rFonts w:eastAsia="Calibri" w:cs="Arial"/>
                <w:sz w:val="22"/>
                <w:szCs w:val="22"/>
              </w:rPr>
            </w:pPr>
          </w:p>
        </w:tc>
        <w:tc>
          <w:tcPr>
            <w:tcW w:w="709" w:type="dxa"/>
          </w:tcPr>
          <w:p w:rsidR="002F5A00" w:rsidRPr="002F5A00" w:rsidRDefault="002F5A00" w:rsidP="00A36E95">
            <w:pPr>
              <w:widowControl w:val="0"/>
              <w:tabs>
                <w:tab w:val="left" w:pos="10080"/>
                <w:tab w:val="left" w:pos="10800"/>
              </w:tabs>
              <w:jc w:val="both"/>
              <w:rPr>
                <w:rFonts w:eastAsia="Calibri" w:cs="Arial"/>
                <w:sz w:val="22"/>
                <w:szCs w:val="22"/>
              </w:rPr>
            </w:pPr>
          </w:p>
        </w:tc>
        <w:tc>
          <w:tcPr>
            <w:tcW w:w="1984" w:type="dxa"/>
          </w:tcPr>
          <w:p w:rsidR="002F5A00" w:rsidRPr="002F5A00" w:rsidRDefault="002F5A00" w:rsidP="00A36E95">
            <w:pPr>
              <w:widowControl w:val="0"/>
              <w:tabs>
                <w:tab w:val="left" w:pos="10080"/>
                <w:tab w:val="left" w:pos="10800"/>
              </w:tabs>
              <w:rPr>
                <w:rFonts w:eastAsia="Calibri" w:cs="Arial"/>
                <w:sz w:val="22"/>
                <w:szCs w:val="22"/>
              </w:rPr>
            </w:pPr>
          </w:p>
        </w:tc>
      </w:tr>
      <w:tr w:rsidR="002F5A00" w:rsidRPr="002F5A00" w:rsidTr="002F5A00">
        <w:tc>
          <w:tcPr>
            <w:tcW w:w="4182" w:type="dxa"/>
          </w:tcPr>
          <w:p w:rsidR="002F5A00" w:rsidRPr="002F5A00" w:rsidRDefault="002F5A00" w:rsidP="00A36E95">
            <w:pPr>
              <w:widowControl w:val="0"/>
              <w:tabs>
                <w:tab w:val="left" w:leader="dot" w:pos="3401"/>
                <w:tab w:val="left" w:pos="10080"/>
                <w:tab w:val="left" w:pos="10800"/>
              </w:tabs>
              <w:jc w:val="both"/>
              <w:rPr>
                <w:rFonts w:eastAsia="Calibri" w:cs="Arial"/>
                <w:sz w:val="22"/>
                <w:szCs w:val="22"/>
              </w:rPr>
            </w:pPr>
            <w:r w:rsidRPr="002F5A00">
              <w:rPr>
                <w:rFonts w:eastAsia="Calibri" w:cs="Arial"/>
                <w:sz w:val="22"/>
                <w:szCs w:val="22"/>
              </w:rPr>
              <w:t xml:space="preserve">- Dépenses courantes </w:t>
            </w:r>
            <w:r w:rsidRPr="002F5A00">
              <w:rPr>
                <w:rFonts w:eastAsia="Calibri" w:cs="Arial"/>
                <w:sz w:val="22"/>
                <w:szCs w:val="22"/>
              </w:rPr>
              <w:tab/>
            </w:r>
          </w:p>
        </w:tc>
        <w:tc>
          <w:tcPr>
            <w:tcW w:w="1984" w:type="dxa"/>
          </w:tcPr>
          <w:p w:rsidR="002F5A00" w:rsidRPr="002F5A00" w:rsidRDefault="002F5A00" w:rsidP="00A36E95">
            <w:pPr>
              <w:widowControl w:val="0"/>
              <w:tabs>
                <w:tab w:val="left" w:pos="10080"/>
                <w:tab w:val="left" w:pos="10800"/>
              </w:tabs>
              <w:jc w:val="right"/>
              <w:rPr>
                <w:rFonts w:eastAsia="Calibri" w:cs="Arial"/>
                <w:sz w:val="22"/>
                <w:szCs w:val="22"/>
              </w:rPr>
            </w:pPr>
            <w:r w:rsidRPr="002F5A00">
              <w:rPr>
                <w:rFonts w:eastAsia="Calibri" w:cs="Arial"/>
                <w:sz w:val="22"/>
                <w:szCs w:val="22"/>
              </w:rPr>
              <w:t>21 239 691 553</w:t>
            </w:r>
          </w:p>
        </w:tc>
        <w:tc>
          <w:tcPr>
            <w:tcW w:w="709" w:type="dxa"/>
          </w:tcPr>
          <w:p w:rsidR="002F5A00" w:rsidRPr="002F5A00" w:rsidRDefault="002F5A00" w:rsidP="00A36E95">
            <w:pPr>
              <w:widowControl w:val="0"/>
              <w:tabs>
                <w:tab w:val="left" w:pos="10080"/>
                <w:tab w:val="left" w:pos="10800"/>
              </w:tabs>
              <w:jc w:val="both"/>
              <w:rPr>
                <w:rFonts w:eastAsia="Calibri" w:cs="Arial"/>
                <w:sz w:val="22"/>
                <w:szCs w:val="22"/>
              </w:rPr>
            </w:pPr>
            <w:r w:rsidRPr="002F5A00">
              <w:rPr>
                <w:rFonts w:eastAsia="Calibri" w:cs="Arial"/>
                <w:sz w:val="22"/>
                <w:szCs w:val="22"/>
              </w:rPr>
              <w:t>euros</w:t>
            </w:r>
          </w:p>
        </w:tc>
        <w:tc>
          <w:tcPr>
            <w:tcW w:w="921" w:type="dxa"/>
          </w:tcPr>
          <w:p w:rsidR="002F5A00" w:rsidRPr="002F5A00" w:rsidRDefault="002F5A00" w:rsidP="00A36E95">
            <w:pPr>
              <w:widowControl w:val="0"/>
              <w:tabs>
                <w:tab w:val="left" w:pos="10080"/>
                <w:tab w:val="left" w:pos="10800"/>
              </w:tabs>
              <w:jc w:val="right"/>
              <w:rPr>
                <w:rFonts w:eastAsia="Calibri" w:cs="Arial"/>
                <w:sz w:val="22"/>
                <w:szCs w:val="22"/>
              </w:rPr>
            </w:pPr>
          </w:p>
        </w:tc>
        <w:tc>
          <w:tcPr>
            <w:tcW w:w="709" w:type="dxa"/>
          </w:tcPr>
          <w:p w:rsidR="002F5A00" w:rsidRPr="002F5A00" w:rsidRDefault="002F5A00" w:rsidP="00A36E95">
            <w:pPr>
              <w:widowControl w:val="0"/>
              <w:tabs>
                <w:tab w:val="left" w:pos="10080"/>
                <w:tab w:val="left" w:pos="10800"/>
              </w:tabs>
              <w:jc w:val="both"/>
              <w:rPr>
                <w:rFonts w:eastAsia="Calibri" w:cs="Arial"/>
                <w:sz w:val="22"/>
                <w:szCs w:val="22"/>
              </w:rPr>
            </w:pPr>
          </w:p>
        </w:tc>
        <w:tc>
          <w:tcPr>
            <w:tcW w:w="1984" w:type="dxa"/>
          </w:tcPr>
          <w:p w:rsidR="002F5A00" w:rsidRPr="002F5A00" w:rsidRDefault="002F5A00" w:rsidP="00A36E95">
            <w:pPr>
              <w:widowControl w:val="0"/>
              <w:tabs>
                <w:tab w:val="left" w:pos="10080"/>
                <w:tab w:val="left" w:pos="10800"/>
              </w:tabs>
              <w:jc w:val="right"/>
              <w:rPr>
                <w:rFonts w:eastAsia="Calibri" w:cs="Arial"/>
                <w:sz w:val="22"/>
                <w:szCs w:val="22"/>
              </w:rPr>
            </w:pPr>
          </w:p>
        </w:tc>
      </w:tr>
      <w:tr w:rsidR="002F5A00" w:rsidRPr="002F5A00" w:rsidTr="002F5A00">
        <w:tc>
          <w:tcPr>
            <w:tcW w:w="4182" w:type="dxa"/>
          </w:tcPr>
          <w:p w:rsidR="002F5A00" w:rsidRPr="002F5A00" w:rsidRDefault="002F5A00" w:rsidP="00A36E95">
            <w:pPr>
              <w:widowControl w:val="0"/>
              <w:tabs>
                <w:tab w:val="left" w:leader="dot" w:pos="3401"/>
                <w:tab w:val="left" w:leader="dot" w:pos="3473"/>
                <w:tab w:val="left" w:pos="10080"/>
                <w:tab w:val="left" w:pos="10800"/>
              </w:tabs>
              <w:jc w:val="both"/>
              <w:rPr>
                <w:rFonts w:eastAsia="Calibri" w:cs="Arial"/>
                <w:sz w:val="22"/>
                <w:szCs w:val="22"/>
              </w:rPr>
            </w:pPr>
            <w:r w:rsidRPr="002F5A00">
              <w:rPr>
                <w:rFonts w:eastAsia="Calibri" w:cs="Arial"/>
                <w:sz w:val="22"/>
                <w:szCs w:val="22"/>
              </w:rPr>
              <w:t xml:space="preserve">- Dépenses en capital </w:t>
            </w:r>
            <w:r w:rsidRPr="002F5A00">
              <w:rPr>
                <w:rFonts w:eastAsia="Calibri" w:cs="Arial"/>
                <w:sz w:val="22"/>
                <w:szCs w:val="22"/>
              </w:rPr>
              <w:tab/>
            </w:r>
          </w:p>
        </w:tc>
        <w:tc>
          <w:tcPr>
            <w:tcW w:w="1984" w:type="dxa"/>
          </w:tcPr>
          <w:p w:rsidR="002F5A00" w:rsidRPr="002F5A00" w:rsidRDefault="002F5A00" w:rsidP="00A36E95">
            <w:pPr>
              <w:widowControl w:val="0"/>
              <w:tabs>
                <w:tab w:val="left" w:pos="10080"/>
                <w:tab w:val="left" w:pos="10800"/>
              </w:tabs>
              <w:jc w:val="right"/>
              <w:rPr>
                <w:rFonts w:eastAsia="Calibri" w:cs="Arial"/>
                <w:sz w:val="22"/>
                <w:szCs w:val="22"/>
              </w:rPr>
            </w:pPr>
            <w:r w:rsidRPr="002F5A00">
              <w:rPr>
                <w:rFonts w:eastAsia="Calibri" w:cs="Arial"/>
                <w:sz w:val="22"/>
                <w:szCs w:val="22"/>
              </w:rPr>
              <w:t>2 937 895 897</w:t>
            </w:r>
          </w:p>
        </w:tc>
        <w:tc>
          <w:tcPr>
            <w:tcW w:w="709" w:type="dxa"/>
          </w:tcPr>
          <w:p w:rsidR="002F5A00" w:rsidRPr="002F5A00" w:rsidRDefault="002F5A00" w:rsidP="00A36E95">
            <w:pPr>
              <w:widowControl w:val="0"/>
              <w:tabs>
                <w:tab w:val="left" w:pos="10080"/>
                <w:tab w:val="left" w:pos="10800"/>
              </w:tabs>
              <w:jc w:val="both"/>
              <w:rPr>
                <w:rFonts w:eastAsia="Calibri" w:cs="Arial"/>
                <w:sz w:val="22"/>
                <w:szCs w:val="22"/>
              </w:rPr>
            </w:pPr>
            <w:r w:rsidRPr="002F5A00">
              <w:rPr>
                <w:rFonts w:eastAsia="Calibri" w:cs="Arial"/>
                <w:sz w:val="22"/>
                <w:szCs w:val="22"/>
              </w:rPr>
              <w:t>euros</w:t>
            </w:r>
          </w:p>
        </w:tc>
        <w:tc>
          <w:tcPr>
            <w:tcW w:w="921" w:type="dxa"/>
          </w:tcPr>
          <w:p w:rsidR="002F5A00" w:rsidRPr="002F5A00" w:rsidRDefault="002F5A00" w:rsidP="00A36E95">
            <w:pPr>
              <w:widowControl w:val="0"/>
              <w:tabs>
                <w:tab w:val="left" w:pos="10080"/>
                <w:tab w:val="left" w:pos="10800"/>
              </w:tabs>
              <w:jc w:val="right"/>
              <w:rPr>
                <w:rFonts w:eastAsia="Calibri" w:cs="Arial"/>
                <w:sz w:val="22"/>
                <w:szCs w:val="22"/>
              </w:rPr>
            </w:pPr>
          </w:p>
        </w:tc>
        <w:tc>
          <w:tcPr>
            <w:tcW w:w="709" w:type="dxa"/>
          </w:tcPr>
          <w:p w:rsidR="002F5A00" w:rsidRPr="002F5A00" w:rsidRDefault="002F5A00" w:rsidP="00A36E95">
            <w:pPr>
              <w:widowControl w:val="0"/>
              <w:tabs>
                <w:tab w:val="left" w:pos="10080"/>
                <w:tab w:val="left" w:pos="10800"/>
              </w:tabs>
              <w:jc w:val="both"/>
              <w:rPr>
                <w:rFonts w:eastAsia="Calibri" w:cs="Arial"/>
                <w:sz w:val="22"/>
                <w:szCs w:val="22"/>
              </w:rPr>
            </w:pPr>
          </w:p>
        </w:tc>
        <w:tc>
          <w:tcPr>
            <w:tcW w:w="1984" w:type="dxa"/>
          </w:tcPr>
          <w:p w:rsidR="002F5A00" w:rsidRPr="002F5A00" w:rsidRDefault="002F5A00" w:rsidP="00A36E95">
            <w:pPr>
              <w:widowControl w:val="0"/>
              <w:tabs>
                <w:tab w:val="left" w:pos="10080"/>
                <w:tab w:val="left" w:pos="10800"/>
              </w:tabs>
              <w:jc w:val="right"/>
              <w:rPr>
                <w:rFonts w:eastAsia="Calibri" w:cs="Arial"/>
                <w:sz w:val="22"/>
                <w:szCs w:val="22"/>
              </w:rPr>
            </w:pPr>
          </w:p>
        </w:tc>
      </w:tr>
      <w:tr w:rsidR="002F5A00" w:rsidRPr="002F5A00" w:rsidTr="002F5A00">
        <w:tc>
          <w:tcPr>
            <w:tcW w:w="4182" w:type="dxa"/>
          </w:tcPr>
          <w:p w:rsidR="002F5A00" w:rsidRPr="002F5A00" w:rsidRDefault="002F5A00" w:rsidP="00A36E95">
            <w:pPr>
              <w:widowControl w:val="0"/>
              <w:tabs>
                <w:tab w:val="left" w:leader="dot" w:pos="3401"/>
                <w:tab w:val="left" w:pos="10080"/>
                <w:tab w:val="left" w:pos="10800"/>
              </w:tabs>
              <w:rPr>
                <w:rFonts w:eastAsia="Calibri" w:cs="Arial"/>
                <w:sz w:val="22"/>
                <w:szCs w:val="22"/>
              </w:rPr>
            </w:pPr>
            <w:r w:rsidRPr="002F5A00">
              <w:rPr>
                <w:rFonts w:eastAsia="Calibri" w:cs="Arial"/>
                <w:sz w:val="22"/>
                <w:szCs w:val="22"/>
              </w:rPr>
              <w:t>- Dépenses des opérations financières</w:t>
            </w:r>
          </w:p>
        </w:tc>
        <w:tc>
          <w:tcPr>
            <w:tcW w:w="1984" w:type="dxa"/>
          </w:tcPr>
          <w:p w:rsidR="002F5A00" w:rsidRPr="002F5A00" w:rsidRDefault="002F5A00" w:rsidP="00A36E95">
            <w:pPr>
              <w:widowControl w:val="0"/>
              <w:tabs>
                <w:tab w:val="left" w:pos="10080"/>
                <w:tab w:val="left" w:pos="10800"/>
              </w:tabs>
              <w:jc w:val="right"/>
              <w:rPr>
                <w:rFonts w:eastAsia="Calibri" w:cs="Arial"/>
                <w:sz w:val="22"/>
                <w:szCs w:val="22"/>
              </w:rPr>
            </w:pPr>
            <w:r w:rsidRPr="002F5A00">
              <w:rPr>
                <w:rFonts w:eastAsia="Calibri" w:cs="Arial"/>
                <w:sz w:val="22"/>
                <w:szCs w:val="22"/>
              </w:rPr>
              <w:t>2 065 784 763</w:t>
            </w:r>
          </w:p>
        </w:tc>
        <w:tc>
          <w:tcPr>
            <w:tcW w:w="709" w:type="dxa"/>
          </w:tcPr>
          <w:p w:rsidR="002F5A00" w:rsidRPr="002F5A00" w:rsidRDefault="002F5A00" w:rsidP="00A36E95">
            <w:pPr>
              <w:widowControl w:val="0"/>
              <w:tabs>
                <w:tab w:val="left" w:pos="10080"/>
                <w:tab w:val="left" w:pos="10800"/>
              </w:tabs>
              <w:jc w:val="both"/>
              <w:rPr>
                <w:rFonts w:eastAsia="Calibri" w:cs="Arial"/>
                <w:sz w:val="22"/>
                <w:szCs w:val="22"/>
              </w:rPr>
            </w:pPr>
            <w:r w:rsidRPr="002F5A00">
              <w:rPr>
                <w:rFonts w:eastAsia="Calibri" w:cs="Arial"/>
                <w:sz w:val="22"/>
                <w:szCs w:val="22"/>
              </w:rPr>
              <w:t>euros</w:t>
            </w:r>
          </w:p>
        </w:tc>
        <w:tc>
          <w:tcPr>
            <w:tcW w:w="921" w:type="dxa"/>
          </w:tcPr>
          <w:p w:rsidR="002F5A00" w:rsidRPr="002F5A00" w:rsidRDefault="002F5A00" w:rsidP="00A36E95">
            <w:pPr>
              <w:widowControl w:val="0"/>
              <w:tabs>
                <w:tab w:val="left" w:pos="10080"/>
                <w:tab w:val="left" w:pos="10800"/>
              </w:tabs>
              <w:jc w:val="right"/>
              <w:rPr>
                <w:rFonts w:eastAsia="Calibri" w:cs="Arial"/>
                <w:sz w:val="22"/>
                <w:szCs w:val="22"/>
              </w:rPr>
            </w:pPr>
          </w:p>
        </w:tc>
        <w:tc>
          <w:tcPr>
            <w:tcW w:w="709" w:type="dxa"/>
          </w:tcPr>
          <w:p w:rsidR="002F5A00" w:rsidRPr="002F5A00" w:rsidRDefault="002F5A00" w:rsidP="00A36E95">
            <w:pPr>
              <w:widowControl w:val="0"/>
              <w:tabs>
                <w:tab w:val="left" w:pos="10080"/>
                <w:tab w:val="left" w:pos="10800"/>
              </w:tabs>
              <w:jc w:val="both"/>
              <w:rPr>
                <w:rFonts w:eastAsia="Calibri" w:cs="Arial"/>
                <w:sz w:val="22"/>
                <w:szCs w:val="22"/>
              </w:rPr>
            </w:pPr>
          </w:p>
        </w:tc>
        <w:tc>
          <w:tcPr>
            <w:tcW w:w="1984" w:type="dxa"/>
          </w:tcPr>
          <w:p w:rsidR="002F5A00" w:rsidRPr="002F5A00" w:rsidRDefault="002F5A00" w:rsidP="00A36E95">
            <w:pPr>
              <w:widowControl w:val="0"/>
              <w:tabs>
                <w:tab w:val="left" w:pos="10080"/>
                <w:tab w:val="left" w:pos="10800"/>
              </w:tabs>
              <w:jc w:val="right"/>
              <w:rPr>
                <w:rFonts w:eastAsia="Calibri" w:cs="Arial"/>
                <w:sz w:val="22"/>
                <w:szCs w:val="22"/>
              </w:rPr>
            </w:pPr>
          </w:p>
        </w:tc>
      </w:tr>
      <w:tr w:rsidR="002F5A00" w:rsidRPr="002F5A00" w:rsidTr="002F5A00">
        <w:tc>
          <w:tcPr>
            <w:tcW w:w="4182" w:type="dxa"/>
          </w:tcPr>
          <w:p w:rsidR="002F5A00" w:rsidRPr="002F5A00" w:rsidRDefault="002F5A00" w:rsidP="00A36E95">
            <w:pPr>
              <w:widowControl w:val="0"/>
              <w:tabs>
                <w:tab w:val="left" w:leader="dot" w:pos="2835"/>
                <w:tab w:val="left" w:leader="dot" w:pos="3401"/>
                <w:tab w:val="left" w:pos="10080"/>
                <w:tab w:val="left" w:pos="10800"/>
              </w:tabs>
              <w:jc w:val="both"/>
              <w:rPr>
                <w:rFonts w:eastAsia="Calibri" w:cs="Arial"/>
                <w:sz w:val="22"/>
                <w:szCs w:val="22"/>
              </w:rPr>
            </w:pPr>
          </w:p>
        </w:tc>
        <w:tc>
          <w:tcPr>
            <w:tcW w:w="1984" w:type="dxa"/>
          </w:tcPr>
          <w:p w:rsidR="002F5A00" w:rsidRPr="002F5A00" w:rsidRDefault="002F5A00" w:rsidP="00A36E95">
            <w:pPr>
              <w:widowControl w:val="0"/>
              <w:tabs>
                <w:tab w:val="left" w:pos="10080"/>
                <w:tab w:val="left" w:pos="10800"/>
              </w:tabs>
              <w:jc w:val="right"/>
              <w:rPr>
                <w:rFonts w:eastAsia="Calibri" w:cs="Arial"/>
                <w:sz w:val="22"/>
                <w:szCs w:val="22"/>
                <w:highlight w:val="yellow"/>
              </w:rPr>
            </w:pPr>
          </w:p>
        </w:tc>
        <w:tc>
          <w:tcPr>
            <w:tcW w:w="709" w:type="dxa"/>
          </w:tcPr>
          <w:p w:rsidR="002F5A00" w:rsidRPr="002F5A00" w:rsidRDefault="002F5A00" w:rsidP="00A36E95">
            <w:pPr>
              <w:widowControl w:val="0"/>
              <w:tabs>
                <w:tab w:val="left" w:pos="10080"/>
                <w:tab w:val="left" w:pos="10800"/>
              </w:tabs>
              <w:jc w:val="both"/>
              <w:rPr>
                <w:rFonts w:eastAsia="Calibri" w:cs="Arial"/>
                <w:sz w:val="22"/>
                <w:szCs w:val="22"/>
                <w:highlight w:val="yellow"/>
              </w:rPr>
            </w:pPr>
          </w:p>
        </w:tc>
        <w:tc>
          <w:tcPr>
            <w:tcW w:w="921" w:type="dxa"/>
          </w:tcPr>
          <w:p w:rsidR="002F5A00" w:rsidRPr="002F5A00" w:rsidRDefault="002F5A00" w:rsidP="00A36E95">
            <w:pPr>
              <w:widowControl w:val="0"/>
              <w:tabs>
                <w:tab w:val="left" w:pos="10080"/>
                <w:tab w:val="left" w:pos="10800"/>
              </w:tabs>
              <w:rPr>
                <w:rFonts w:eastAsia="Calibri" w:cs="Arial"/>
                <w:sz w:val="22"/>
                <w:szCs w:val="22"/>
              </w:rPr>
            </w:pPr>
          </w:p>
        </w:tc>
        <w:tc>
          <w:tcPr>
            <w:tcW w:w="709" w:type="dxa"/>
          </w:tcPr>
          <w:p w:rsidR="002F5A00" w:rsidRPr="002F5A00" w:rsidRDefault="002F5A00" w:rsidP="00A36E95">
            <w:pPr>
              <w:widowControl w:val="0"/>
              <w:tabs>
                <w:tab w:val="left" w:pos="10080"/>
                <w:tab w:val="left" w:pos="10800"/>
              </w:tabs>
              <w:jc w:val="both"/>
              <w:rPr>
                <w:rFonts w:eastAsia="Calibri" w:cs="Arial"/>
                <w:sz w:val="22"/>
                <w:szCs w:val="22"/>
              </w:rPr>
            </w:pPr>
          </w:p>
        </w:tc>
        <w:tc>
          <w:tcPr>
            <w:tcW w:w="1984" w:type="dxa"/>
          </w:tcPr>
          <w:p w:rsidR="002F5A00" w:rsidRPr="002F5A00" w:rsidRDefault="002F5A00" w:rsidP="00A36E95">
            <w:pPr>
              <w:widowControl w:val="0"/>
              <w:tabs>
                <w:tab w:val="left" w:pos="10080"/>
                <w:tab w:val="left" w:pos="10800"/>
              </w:tabs>
              <w:jc w:val="right"/>
              <w:rPr>
                <w:rFonts w:eastAsia="Calibri" w:cs="Arial"/>
                <w:sz w:val="22"/>
                <w:szCs w:val="22"/>
              </w:rPr>
            </w:pPr>
          </w:p>
        </w:tc>
      </w:tr>
    </w:tbl>
    <w:p w:rsidR="00954601" w:rsidRPr="00BA7BE0" w:rsidRDefault="00954601" w:rsidP="00954601">
      <w:pPr>
        <w:jc w:val="both"/>
        <w:rPr>
          <w:rFonts w:ascii="Calibri" w:hAnsi="Calibri" w:cs="Calibri"/>
          <w:color w:val="7030A0"/>
          <w:sz w:val="22"/>
          <w:szCs w:val="22"/>
        </w:rPr>
      </w:pPr>
    </w:p>
    <w:p w:rsidR="00603F1A" w:rsidRPr="00603F1A" w:rsidRDefault="00954601" w:rsidP="00603F1A">
      <w:pPr>
        <w:jc w:val="both"/>
        <w:rPr>
          <w:rFonts w:cs="Arial"/>
          <w:color w:val="auto"/>
          <w:sz w:val="22"/>
          <w:szCs w:val="22"/>
        </w:rPr>
      </w:pPr>
      <w:r w:rsidRPr="00603F1A">
        <w:rPr>
          <w:rFonts w:cs="Arial"/>
          <w:color w:val="auto"/>
          <w:sz w:val="22"/>
          <w:szCs w:val="22"/>
          <w:u w:val="single"/>
        </w:rPr>
        <w:t xml:space="preserve">L’article 3 </w:t>
      </w:r>
      <w:r w:rsidR="00603F1A" w:rsidRPr="00603F1A">
        <w:rPr>
          <w:rFonts w:cs="Arial"/>
          <w:color w:val="auto"/>
          <w:sz w:val="22"/>
          <w:szCs w:val="22"/>
          <w:u w:val="single"/>
        </w:rPr>
        <w:t>(4)</w:t>
      </w:r>
      <w:r w:rsidR="00603F1A" w:rsidRPr="00603F1A">
        <w:rPr>
          <w:rFonts w:cs="Arial"/>
          <w:color w:val="auto"/>
          <w:sz w:val="22"/>
          <w:szCs w:val="22"/>
        </w:rPr>
        <w:t xml:space="preserve"> permet de redéfinir la </w:t>
      </w:r>
      <w:r w:rsidR="00603F1A" w:rsidRPr="00D47836">
        <w:rPr>
          <w:rFonts w:cs="Arial"/>
          <w:b/>
          <w:color w:val="auto"/>
          <w:sz w:val="22"/>
          <w:szCs w:val="22"/>
          <w:u w:val="single"/>
        </w:rPr>
        <w:t>valeur locative d’une habitation</w:t>
      </w:r>
      <w:r w:rsidR="00603F1A" w:rsidRPr="00603F1A">
        <w:rPr>
          <w:rFonts w:cs="Arial"/>
          <w:color w:val="auto"/>
          <w:sz w:val="22"/>
          <w:szCs w:val="22"/>
        </w:rPr>
        <w:t xml:space="preserve"> afin que sa fixation intervienne dès que le propriétaire peut librement en disposer pour ses besoins personnels d’habitation, ou bien habituels et prépondérants ou bien secondaires. </w:t>
      </w:r>
    </w:p>
    <w:p w:rsidR="00603F1A" w:rsidRDefault="00603F1A" w:rsidP="00603F1A">
      <w:pPr>
        <w:rPr>
          <w:rFonts w:ascii="Times New Roman" w:hAnsi="Times New Roman"/>
          <w:color w:val="auto"/>
          <w:szCs w:val="24"/>
        </w:rPr>
      </w:pPr>
    </w:p>
    <w:p w:rsidR="00603F1A" w:rsidRPr="00603F1A" w:rsidRDefault="00603F1A" w:rsidP="00603F1A">
      <w:pPr>
        <w:jc w:val="both"/>
        <w:rPr>
          <w:rFonts w:cs="Arial"/>
          <w:color w:val="auto"/>
          <w:sz w:val="22"/>
          <w:szCs w:val="22"/>
        </w:rPr>
      </w:pPr>
      <w:r w:rsidRPr="00603F1A">
        <w:rPr>
          <w:rFonts w:cs="Arial"/>
          <w:color w:val="auto"/>
          <w:sz w:val="22"/>
          <w:szCs w:val="22"/>
        </w:rPr>
        <w:t xml:space="preserve">Aussi, le propriétaire d’une habitation est imposable au titre de la valeur locative, qui reste néanmoins à zéro euro, lorsqu’il l’occupe personnellement, lorsqu’il ne l’occupe pas parce qu’il la met bénévolement à disposition de quelqu’un d’autre et lorsqu’il ne l’occupe pas parce qu’elle est en cours de rénovation, de transformation, fait l’objet de travaux quelconques ou reste inoccupée pour toute autre raison. </w:t>
      </w:r>
    </w:p>
    <w:p w:rsidR="00603F1A" w:rsidRPr="00571DA2" w:rsidRDefault="00603F1A" w:rsidP="00571DA2">
      <w:pPr>
        <w:jc w:val="both"/>
        <w:rPr>
          <w:rFonts w:cs="Arial"/>
          <w:color w:val="auto"/>
          <w:sz w:val="22"/>
          <w:szCs w:val="22"/>
        </w:rPr>
      </w:pPr>
    </w:p>
    <w:p w:rsidR="00603F1A" w:rsidRPr="00571DA2" w:rsidRDefault="00571DA2" w:rsidP="00571DA2">
      <w:pPr>
        <w:jc w:val="both"/>
        <w:rPr>
          <w:rFonts w:cs="Arial"/>
          <w:color w:val="auto"/>
          <w:sz w:val="22"/>
          <w:szCs w:val="22"/>
        </w:rPr>
      </w:pPr>
      <w:r w:rsidRPr="00571DA2">
        <w:rPr>
          <w:rFonts w:cs="Arial"/>
          <w:color w:val="auto"/>
          <w:sz w:val="22"/>
          <w:szCs w:val="22"/>
          <w:u w:val="single"/>
        </w:rPr>
        <w:t>L’article 3 (6) a)</w:t>
      </w:r>
      <w:r w:rsidRPr="00571DA2">
        <w:rPr>
          <w:rFonts w:cs="Arial"/>
          <w:color w:val="auto"/>
          <w:sz w:val="22"/>
          <w:szCs w:val="22"/>
        </w:rPr>
        <w:t xml:space="preserve"> a pour objectif d’accorder, sur option annuelle, la possibilité de calculer le seuil de 5% par rapport à la somme algébrique positive des résultats des membres du groupe intégré </w:t>
      </w:r>
      <w:r w:rsidR="00D065B3">
        <w:rPr>
          <w:rFonts w:cs="Arial"/>
          <w:color w:val="auto"/>
          <w:sz w:val="22"/>
          <w:szCs w:val="22"/>
        </w:rPr>
        <w:t>(</w:t>
      </w:r>
      <w:r w:rsidRPr="00571DA2">
        <w:rPr>
          <w:rFonts w:cs="Arial"/>
          <w:color w:val="auto"/>
          <w:sz w:val="22"/>
          <w:szCs w:val="22"/>
        </w:rPr>
        <w:t>au sens de l’article 164</w:t>
      </w:r>
      <w:r w:rsidRPr="00571DA2">
        <w:rPr>
          <w:rFonts w:cs="Arial"/>
          <w:i/>
          <w:color w:val="auto"/>
          <w:sz w:val="22"/>
          <w:szCs w:val="22"/>
        </w:rPr>
        <w:t>bis</w:t>
      </w:r>
      <w:r w:rsidR="00D065B3">
        <w:rPr>
          <w:rFonts w:cs="Arial"/>
          <w:color w:val="auto"/>
          <w:sz w:val="22"/>
          <w:szCs w:val="22"/>
        </w:rPr>
        <w:t>)</w:t>
      </w:r>
      <w:r w:rsidRPr="00571DA2">
        <w:rPr>
          <w:rFonts w:cs="Arial"/>
          <w:color w:val="auto"/>
          <w:sz w:val="22"/>
          <w:szCs w:val="22"/>
        </w:rPr>
        <w:t xml:space="preserve">, pour autant qu’une intégration fiscale ait existé au cours de l’année d’octroi de la </w:t>
      </w:r>
      <w:r w:rsidRPr="00D47836">
        <w:rPr>
          <w:rFonts w:cs="Arial"/>
          <w:b/>
          <w:color w:val="auto"/>
          <w:sz w:val="22"/>
          <w:szCs w:val="22"/>
          <w:u w:val="single"/>
        </w:rPr>
        <w:t>prime participative</w:t>
      </w:r>
      <w:r w:rsidRPr="00571DA2">
        <w:rPr>
          <w:rFonts w:cs="Arial"/>
          <w:color w:val="auto"/>
          <w:sz w:val="22"/>
          <w:szCs w:val="22"/>
        </w:rPr>
        <w:t xml:space="preserve"> ainsi que de l’année précédant immédiatement celle de l’octroi de ladite prime.</w:t>
      </w:r>
    </w:p>
    <w:p w:rsidR="00571DA2" w:rsidRPr="00571DA2" w:rsidRDefault="00571DA2" w:rsidP="00571DA2">
      <w:pPr>
        <w:jc w:val="both"/>
        <w:rPr>
          <w:rFonts w:cs="Arial"/>
          <w:color w:val="auto"/>
          <w:sz w:val="22"/>
          <w:szCs w:val="22"/>
          <w:u w:val="single"/>
        </w:rPr>
      </w:pPr>
    </w:p>
    <w:p w:rsidR="00603F1A" w:rsidRPr="00603F1A" w:rsidRDefault="00603F1A" w:rsidP="00603F1A">
      <w:pPr>
        <w:jc w:val="both"/>
        <w:rPr>
          <w:rFonts w:cs="Arial"/>
          <w:color w:val="auto"/>
          <w:sz w:val="22"/>
          <w:szCs w:val="22"/>
        </w:rPr>
      </w:pPr>
      <w:r w:rsidRPr="00603F1A">
        <w:rPr>
          <w:rFonts w:cs="Arial"/>
          <w:color w:val="auto"/>
          <w:sz w:val="22"/>
          <w:szCs w:val="22"/>
          <w:u w:val="single"/>
        </w:rPr>
        <w:t>L’article 3 (6) b)</w:t>
      </w:r>
      <w:r w:rsidRPr="00603F1A">
        <w:rPr>
          <w:rFonts w:cs="Arial"/>
          <w:color w:val="auto"/>
          <w:sz w:val="22"/>
          <w:szCs w:val="22"/>
        </w:rPr>
        <w:t xml:space="preserve"> </w:t>
      </w:r>
      <w:r>
        <w:rPr>
          <w:rFonts w:cs="Arial"/>
          <w:color w:val="auto"/>
          <w:sz w:val="22"/>
          <w:szCs w:val="22"/>
        </w:rPr>
        <w:t>modifie le</w:t>
      </w:r>
      <w:r w:rsidRPr="00603F1A">
        <w:rPr>
          <w:rFonts w:cs="Arial"/>
          <w:color w:val="auto"/>
          <w:sz w:val="22"/>
          <w:szCs w:val="22"/>
        </w:rPr>
        <w:t xml:space="preserve"> </w:t>
      </w:r>
      <w:r w:rsidRPr="00D065B3">
        <w:rPr>
          <w:rFonts w:cs="Arial"/>
          <w:color w:val="auto"/>
          <w:sz w:val="22"/>
          <w:szCs w:val="22"/>
          <w:u w:val="single"/>
        </w:rPr>
        <w:t>seuil de rémunération minimal</w:t>
      </w:r>
      <w:r w:rsidRPr="00603F1A">
        <w:rPr>
          <w:rFonts w:cs="Arial"/>
          <w:color w:val="auto"/>
          <w:sz w:val="22"/>
          <w:szCs w:val="22"/>
        </w:rPr>
        <w:t xml:space="preserve"> requis pour bénéficier du </w:t>
      </w:r>
      <w:r w:rsidRPr="00D47836">
        <w:rPr>
          <w:rFonts w:cs="Arial"/>
          <w:b/>
          <w:color w:val="auto"/>
          <w:sz w:val="22"/>
          <w:szCs w:val="22"/>
          <w:u w:val="single"/>
        </w:rPr>
        <w:t>régime des impatriés</w:t>
      </w:r>
      <w:r w:rsidRPr="00603F1A">
        <w:rPr>
          <w:rFonts w:cs="Arial"/>
          <w:color w:val="auto"/>
          <w:sz w:val="22"/>
          <w:szCs w:val="22"/>
        </w:rPr>
        <w:t xml:space="preserve"> afin de tenir compte d’un certain nombre de critiques occasionnées par le relèvement de ce seuil en 2021. Le seuil actuel de rémunération minimal de 100</w:t>
      </w:r>
      <w:r w:rsidR="008F1EF6">
        <w:rPr>
          <w:rFonts w:cs="Arial"/>
          <w:color w:val="auto"/>
          <w:sz w:val="22"/>
          <w:szCs w:val="22"/>
        </w:rPr>
        <w:t> </w:t>
      </w:r>
      <w:r w:rsidRPr="00603F1A">
        <w:rPr>
          <w:rFonts w:cs="Arial"/>
          <w:color w:val="auto"/>
          <w:sz w:val="22"/>
          <w:szCs w:val="22"/>
        </w:rPr>
        <w:t xml:space="preserve">000 euros </w:t>
      </w:r>
      <w:r w:rsidR="00BE3EE2">
        <w:rPr>
          <w:rFonts w:cs="Arial"/>
          <w:color w:val="auto"/>
          <w:sz w:val="22"/>
          <w:szCs w:val="22"/>
        </w:rPr>
        <w:t xml:space="preserve">est </w:t>
      </w:r>
      <w:r w:rsidR="00BE3EE2" w:rsidRPr="00D065B3">
        <w:rPr>
          <w:rFonts w:cs="Arial"/>
          <w:color w:val="auto"/>
          <w:sz w:val="22"/>
          <w:szCs w:val="22"/>
          <w:u w:val="single"/>
        </w:rPr>
        <w:t>abaissé à 75 000 euros</w:t>
      </w:r>
      <w:r w:rsidR="00BE3EE2">
        <w:rPr>
          <w:rFonts w:cs="Arial"/>
          <w:color w:val="auto"/>
          <w:sz w:val="22"/>
          <w:szCs w:val="22"/>
        </w:rPr>
        <w:t xml:space="preserve"> </w:t>
      </w:r>
      <w:r w:rsidRPr="00603F1A">
        <w:rPr>
          <w:rFonts w:cs="Arial"/>
          <w:color w:val="auto"/>
          <w:sz w:val="22"/>
          <w:szCs w:val="22"/>
        </w:rPr>
        <w:t>dans un souci de maintenir l’attractivité du pays à l’international dans un contexte de difficultés accrues de recrutement de main d’œuvre qualifiée dans certains secteurs économiques</w:t>
      </w:r>
      <w:r w:rsidR="00BE3EE2">
        <w:rPr>
          <w:rFonts w:cs="Arial"/>
          <w:color w:val="auto"/>
          <w:sz w:val="22"/>
          <w:szCs w:val="22"/>
        </w:rPr>
        <w:t>.</w:t>
      </w:r>
    </w:p>
    <w:p w:rsidR="00603F1A" w:rsidRDefault="00603F1A" w:rsidP="00603F1A">
      <w:pPr>
        <w:rPr>
          <w:rFonts w:ascii="Times New Roman" w:hAnsi="Times New Roman"/>
          <w:color w:val="auto"/>
          <w:szCs w:val="24"/>
        </w:rPr>
      </w:pPr>
    </w:p>
    <w:p w:rsidR="00D065B3" w:rsidRPr="00D065B3" w:rsidRDefault="00D065B3" w:rsidP="00D065B3">
      <w:pPr>
        <w:pStyle w:val="Listepuces"/>
        <w:numPr>
          <w:ilvl w:val="0"/>
          <w:numId w:val="0"/>
        </w:numPr>
        <w:jc w:val="both"/>
        <w:rPr>
          <w:rFonts w:cs="Arial"/>
          <w:sz w:val="22"/>
          <w:szCs w:val="22"/>
        </w:rPr>
      </w:pPr>
      <w:r w:rsidRPr="00D065B3">
        <w:rPr>
          <w:rFonts w:cs="Arial"/>
          <w:sz w:val="22"/>
          <w:szCs w:val="22"/>
          <w:u w:val="single"/>
        </w:rPr>
        <w:t>L’article 3 (7)</w:t>
      </w:r>
      <w:r w:rsidRPr="00D065B3">
        <w:rPr>
          <w:rFonts w:cs="Arial"/>
          <w:sz w:val="22"/>
          <w:szCs w:val="22"/>
        </w:rPr>
        <w:t xml:space="preserve"> </w:t>
      </w:r>
      <w:r w:rsidRPr="00D065B3">
        <w:rPr>
          <w:rFonts w:cs="Arial"/>
          <w:color w:val="auto"/>
          <w:sz w:val="22"/>
          <w:szCs w:val="22"/>
        </w:rPr>
        <w:t xml:space="preserve">majore le </w:t>
      </w:r>
      <w:r w:rsidRPr="00D8770C">
        <w:rPr>
          <w:rFonts w:cs="Arial"/>
          <w:b/>
          <w:color w:val="auto"/>
          <w:sz w:val="22"/>
          <w:szCs w:val="22"/>
          <w:u w:val="single"/>
        </w:rPr>
        <w:t>montant maximum de l’abattement de revenu imposable pour enfant ne faisant pas partie du ménage du contribuable</w:t>
      </w:r>
      <w:r w:rsidRPr="00D065B3">
        <w:rPr>
          <w:rFonts w:cs="Arial"/>
          <w:color w:val="auto"/>
          <w:sz w:val="22"/>
          <w:szCs w:val="22"/>
        </w:rPr>
        <w:t xml:space="preserve"> (prévu à l’article 127</w:t>
      </w:r>
      <w:r w:rsidRPr="00D065B3">
        <w:rPr>
          <w:rFonts w:cs="Arial"/>
          <w:i/>
          <w:color w:val="auto"/>
          <w:sz w:val="22"/>
          <w:szCs w:val="22"/>
        </w:rPr>
        <w:t>bis</w:t>
      </w:r>
      <w:r w:rsidRPr="00D065B3">
        <w:rPr>
          <w:rFonts w:cs="Arial"/>
          <w:color w:val="auto"/>
          <w:sz w:val="22"/>
          <w:szCs w:val="22"/>
        </w:rPr>
        <w:t xml:space="preserve"> L.I.R.) de 4</w:t>
      </w:r>
      <w:r w:rsidR="005E27FE">
        <w:rPr>
          <w:rFonts w:cs="Arial"/>
          <w:color w:val="auto"/>
          <w:sz w:val="22"/>
          <w:szCs w:val="22"/>
        </w:rPr>
        <w:t> </w:t>
      </w:r>
      <w:r w:rsidRPr="00D065B3">
        <w:rPr>
          <w:rFonts w:cs="Arial"/>
          <w:color w:val="auto"/>
          <w:sz w:val="22"/>
          <w:szCs w:val="22"/>
        </w:rPr>
        <w:t xml:space="preserve">020 euros </w:t>
      </w:r>
      <w:r w:rsidRPr="00D065B3">
        <w:rPr>
          <w:rFonts w:cs="Arial"/>
          <w:color w:val="auto"/>
          <w:sz w:val="22"/>
          <w:szCs w:val="22"/>
          <w:u w:val="single"/>
        </w:rPr>
        <w:t>à 4</w:t>
      </w:r>
      <w:r w:rsidR="005E27FE">
        <w:rPr>
          <w:rFonts w:cs="Arial"/>
          <w:color w:val="auto"/>
          <w:sz w:val="22"/>
          <w:szCs w:val="22"/>
          <w:u w:val="single"/>
        </w:rPr>
        <w:t> </w:t>
      </w:r>
      <w:r w:rsidRPr="00D065B3">
        <w:rPr>
          <w:rFonts w:cs="Arial"/>
          <w:color w:val="auto"/>
          <w:sz w:val="22"/>
          <w:szCs w:val="22"/>
          <w:u w:val="single"/>
        </w:rPr>
        <w:t>422 euros</w:t>
      </w:r>
      <w:r w:rsidRPr="00D065B3">
        <w:rPr>
          <w:rFonts w:cs="Arial"/>
          <w:color w:val="auto"/>
          <w:sz w:val="22"/>
          <w:szCs w:val="22"/>
        </w:rPr>
        <w:t xml:space="preserve"> afin de maintenir le parallélisme avec l’augmentation du montant des allocations de toute nature en dessous duquel de telles allocations n’impliquent pas une réduction du crédit d’impôt monoparental en vertu de l’article 154</w:t>
      </w:r>
      <w:r w:rsidRPr="00D065B3">
        <w:rPr>
          <w:rFonts w:cs="Arial"/>
          <w:i/>
          <w:color w:val="auto"/>
          <w:sz w:val="22"/>
          <w:szCs w:val="22"/>
        </w:rPr>
        <w:t>ter</w:t>
      </w:r>
      <w:r w:rsidRPr="00D065B3">
        <w:rPr>
          <w:rFonts w:cs="Arial"/>
          <w:color w:val="auto"/>
          <w:sz w:val="22"/>
          <w:szCs w:val="22"/>
        </w:rPr>
        <w:t>, alinéa 3.</w:t>
      </w:r>
    </w:p>
    <w:p w:rsidR="00603F1A" w:rsidRDefault="00603F1A" w:rsidP="00CD2261">
      <w:pPr>
        <w:jc w:val="both"/>
        <w:rPr>
          <w:rFonts w:cs="Arial"/>
          <w:color w:val="auto"/>
          <w:sz w:val="22"/>
          <w:szCs w:val="22"/>
        </w:rPr>
      </w:pPr>
    </w:p>
    <w:p w:rsidR="00D065B3" w:rsidRPr="00D065B3" w:rsidRDefault="00D065B3" w:rsidP="00CD2261">
      <w:pPr>
        <w:jc w:val="both"/>
        <w:rPr>
          <w:rFonts w:cs="Arial"/>
          <w:color w:val="auto"/>
          <w:sz w:val="22"/>
          <w:szCs w:val="22"/>
        </w:rPr>
      </w:pPr>
      <w:r w:rsidRPr="00D065B3">
        <w:rPr>
          <w:rFonts w:cs="Arial"/>
          <w:color w:val="auto"/>
          <w:sz w:val="22"/>
          <w:szCs w:val="22"/>
          <w:u w:val="single"/>
        </w:rPr>
        <w:t>L’article 3 (10)</w:t>
      </w:r>
      <w:r w:rsidRPr="00D065B3">
        <w:rPr>
          <w:rFonts w:cs="Arial"/>
          <w:color w:val="auto"/>
          <w:sz w:val="22"/>
          <w:szCs w:val="22"/>
        </w:rPr>
        <w:t xml:space="preserve"> relève le </w:t>
      </w:r>
      <w:r w:rsidRPr="00D47836">
        <w:rPr>
          <w:rFonts w:cs="Arial"/>
          <w:b/>
          <w:color w:val="auto"/>
          <w:sz w:val="22"/>
          <w:szCs w:val="22"/>
          <w:u w:val="single"/>
        </w:rPr>
        <w:t>montant maximal du crédit d’impôt monoparental (CIM)</w:t>
      </w:r>
      <w:r w:rsidRPr="00D065B3">
        <w:rPr>
          <w:rFonts w:cs="Arial"/>
          <w:color w:val="auto"/>
          <w:sz w:val="22"/>
          <w:szCs w:val="22"/>
        </w:rPr>
        <w:t xml:space="preserve"> de 1</w:t>
      </w:r>
      <w:r w:rsidR="006B535C">
        <w:rPr>
          <w:rFonts w:cs="Arial"/>
          <w:color w:val="auto"/>
          <w:sz w:val="22"/>
          <w:szCs w:val="22"/>
        </w:rPr>
        <w:t> </w:t>
      </w:r>
      <w:r w:rsidRPr="00D065B3">
        <w:rPr>
          <w:rFonts w:cs="Arial"/>
          <w:color w:val="auto"/>
          <w:sz w:val="22"/>
          <w:szCs w:val="22"/>
        </w:rPr>
        <w:t>500 euros à 2</w:t>
      </w:r>
      <w:r w:rsidR="006B535C">
        <w:rPr>
          <w:rFonts w:cs="Arial"/>
          <w:color w:val="auto"/>
          <w:sz w:val="22"/>
          <w:szCs w:val="22"/>
        </w:rPr>
        <w:t> </w:t>
      </w:r>
      <w:r w:rsidRPr="00D065B3">
        <w:rPr>
          <w:rFonts w:cs="Arial"/>
          <w:color w:val="auto"/>
          <w:sz w:val="22"/>
          <w:szCs w:val="22"/>
        </w:rPr>
        <w:t>505 euros. Outre cette augmentation du montant maximal du CIM, le revenu imposable ajusté jusqu’auquel le montant maximal du CIM s’applique, est augmenté de 35</w:t>
      </w:r>
      <w:r w:rsidR="00D26196">
        <w:rPr>
          <w:rFonts w:cs="Arial"/>
          <w:color w:val="auto"/>
          <w:sz w:val="22"/>
          <w:szCs w:val="22"/>
        </w:rPr>
        <w:t> </w:t>
      </w:r>
      <w:r w:rsidRPr="00D065B3">
        <w:rPr>
          <w:rFonts w:cs="Arial"/>
          <w:color w:val="auto"/>
          <w:sz w:val="22"/>
          <w:szCs w:val="22"/>
        </w:rPr>
        <w:t>000 euros à 60</w:t>
      </w:r>
      <w:r w:rsidR="00D26196">
        <w:rPr>
          <w:rFonts w:cs="Arial"/>
          <w:color w:val="auto"/>
          <w:sz w:val="22"/>
          <w:szCs w:val="22"/>
        </w:rPr>
        <w:t> </w:t>
      </w:r>
      <w:r w:rsidRPr="00D065B3">
        <w:rPr>
          <w:rFonts w:cs="Arial"/>
          <w:color w:val="auto"/>
          <w:sz w:val="22"/>
          <w:szCs w:val="22"/>
        </w:rPr>
        <w:t>000 euros. En d’autres termes, les contribuables ayant des revenus imposables ajustés se situant entre 0 euro et 60</w:t>
      </w:r>
      <w:r w:rsidR="00D26196">
        <w:rPr>
          <w:rFonts w:cs="Arial"/>
          <w:color w:val="auto"/>
          <w:sz w:val="22"/>
          <w:szCs w:val="22"/>
        </w:rPr>
        <w:t> </w:t>
      </w:r>
      <w:r w:rsidRPr="00D065B3">
        <w:rPr>
          <w:rFonts w:cs="Arial"/>
          <w:color w:val="auto"/>
          <w:sz w:val="22"/>
          <w:szCs w:val="22"/>
        </w:rPr>
        <w:t>000 euros pourront dorénavant bénéficier d’un CIM à hauteur de 2</w:t>
      </w:r>
      <w:r w:rsidR="00D26196">
        <w:rPr>
          <w:rFonts w:cs="Arial"/>
          <w:color w:val="auto"/>
          <w:sz w:val="22"/>
          <w:szCs w:val="22"/>
        </w:rPr>
        <w:t> </w:t>
      </w:r>
      <w:r w:rsidRPr="00D065B3">
        <w:rPr>
          <w:rFonts w:cs="Arial"/>
          <w:color w:val="auto"/>
          <w:sz w:val="22"/>
          <w:szCs w:val="22"/>
        </w:rPr>
        <w:t>505 euros. Par cette hausse, le cercle des contribuables pouvant bénéficier du CIM maximal est sensiblement élargi.</w:t>
      </w:r>
    </w:p>
    <w:p w:rsidR="00603F1A" w:rsidRDefault="00603F1A" w:rsidP="00CD2261">
      <w:pPr>
        <w:jc w:val="both"/>
        <w:rPr>
          <w:rFonts w:cs="Arial"/>
          <w:color w:val="7030A0"/>
          <w:sz w:val="22"/>
          <w:szCs w:val="22"/>
        </w:rPr>
      </w:pPr>
    </w:p>
    <w:p w:rsidR="00850F79" w:rsidRDefault="00850F79" w:rsidP="00504319">
      <w:pPr>
        <w:jc w:val="both"/>
        <w:rPr>
          <w:rFonts w:cs="Arial"/>
          <w:color w:val="auto"/>
          <w:sz w:val="22"/>
          <w:szCs w:val="22"/>
          <w:lang w:val="fr-LU"/>
        </w:rPr>
      </w:pPr>
      <w:r w:rsidRPr="00504319">
        <w:rPr>
          <w:rFonts w:cs="Arial"/>
          <w:color w:val="auto"/>
          <w:sz w:val="22"/>
          <w:szCs w:val="22"/>
          <w:u w:val="single"/>
        </w:rPr>
        <w:t>L’article 4</w:t>
      </w:r>
      <w:r w:rsidRPr="00504319">
        <w:rPr>
          <w:rFonts w:cs="Arial"/>
          <w:color w:val="auto"/>
          <w:sz w:val="22"/>
          <w:szCs w:val="22"/>
        </w:rPr>
        <w:t xml:space="preserve"> </w:t>
      </w:r>
      <w:r w:rsidRPr="00504319">
        <w:rPr>
          <w:rFonts w:cs="Arial"/>
          <w:color w:val="auto"/>
          <w:sz w:val="22"/>
          <w:szCs w:val="22"/>
          <w:lang w:val="fr-LU"/>
        </w:rPr>
        <w:t xml:space="preserve">fixe au </w:t>
      </w:r>
      <w:r w:rsidRPr="00A831C9">
        <w:rPr>
          <w:rFonts w:cs="Arial"/>
          <w:b/>
          <w:color w:val="auto"/>
          <w:sz w:val="22"/>
          <w:szCs w:val="22"/>
          <w:u w:val="single"/>
          <w:lang w:val="fr-LU"/>
        </w:rPr>
        <w:t>31 décembre</w:t>
      </w:r>
      <w:r w:rsidRPr="00504319">
        <w:rPr>
          <w:rFonts w:cs="Arial"/>
          <w:color w:val="auto"/>
          <w:sz w:val="22"/>
          <w:szCs w:val="22"/>
          <w:lang w:val="fr-LU"/>
        </w:rPr>
        <w:t xml:space="preserve"> (au lieu du 31 mars) le </w:t>
      </w:r>
      <w:r w:rsidRPr="00681126">
        <w:rPr>
          <w:rFonts w:cs="Arial"/>
          <w:b/>
          <w:color w:val="auto"/>
          <w:sz w:val="22"/>
          <w:szCs w:val="22"/>
          <w:u w:val="single"/>
          <w:lang w:val="fr-LU"/>
        </w:rPr>
        <w:t>délai pour le dépôt des déclarations d’impôt</w:t>
      </w:r>
      <w:r w:rsidRPr="00504319">
        <w:rPr>
          <w:rFonts w:cs="Arial"/>
          <w:color w:val="auto"/>
          <w:sz w:val="22"/>
          <w:szCs w:val="22"/>
          <w:lang w:val="fr-LU"/>
        </w:rPr>
        <w:t xml:space="preserve"> (impôt sur le revenu des personnes physiques, impôt sur le revenu des collectivités, impôt commercial communal et impôt sur la fortune).</w:t>
      </w:r>
    </w:p>
    <w:p w:rsidR="00504319" w:rsidRDefault="00504319" w:rsidP="00504319">
      <w:pPr>
        <w:jc w:val="both"/>
        <w:rPr>
          <w:rFonts w:cs="Arial"/>
          <w:color w:val="auto"/>
          <w:sz w:val="22"/>
          <w:szCs w:val="22"/>
          <w:lang w:val="fr-LU"/>
        </w:rPr>
      </w:pPr>
    </w:p>
    <w:p w:rsidR="00F708DF" w:rsidRPr="00F708DF" w:rsidRDefault="00F708DF" w:rsidP="00F708DF">
      <w:pPr>
        <w:jc w:val="both"/>
        <w:rPr>
          <w:rFonts w:cs="Arial"/>
          <w:color w:val="auto"/>
          <w:sz w:val="22"/>
          <w:szCs w:val="22"/>
        </w:rPr>
      </w:pPr>
      <w:r w:rsidRPr="00F708DF">
        <w:rPr>
          <w:rFonts w:cs="Arial"/>
          <w:color w:val="auto"/>
          <w:sz w:val="22"/>
          <w:szCs w:val="22"/>
          <w:u w:val="single"/>
        </w:rPr>
        <w:t>L’article 5 (2)</w:t>
      </w:r>
      <w:r w:rsidRPr="00F708DF">
        <w:rPr>
          <w:rFonts w:cs="Arial"/>
          <w:color w:val="auto"/>
          <w:sz w:val="22"/>
          <w:szCs w:val="22"/>
        </w:rPr>
        <w:t xml:space="preserve"> permet l’application en matière de </w:t>
      </w:r>
      <w:r w:rsidRPr="00681126">
        <w:rPr>
          <w:rFonts w:cs="Arial"/>
          <w:b/>
          <w:color w:val="auto"/>
          <w:sz w:val="22"/>
          <w:szCs w:val="22"/>
          <w:u w:val="single"/>
        </w:rPr>
        <w:t>TVA</w:t>
      </w:r>
      <w:r w:rsidRPr="00F708DF">
        <w:rPr>
          <w:rFonts w:cs="Arial"/>
          <w:color w:val="auto"/>
          <w:sz w:val="22"/>
          <w:szCs w:val="22"/>
        </w:rPr>
        <w:t xml:space="preserve"> du </w:t>
      </w:r>
      <w:r w:rsidRPr="00F708DF">
        <w:rPr>
          <w:rFonts w:cs="Arial"/>
          <w:color w:val="auto"/>
          <w:sz w:val="22"/>
          <w:szCs w:val="22"/>
          <w:u w:val="single"/>
        </w:rPr>
        <w:t>taux réduit de 8% à la réparation d’appareils ménagers</w:t>
      </w:r>
      <w:r w:rsidRPr="00F708DF">
        <w:rPr>
          <w:rFonts w:cs="Arial"/>
          <w:color w:val="auto"/>
          <w:sz w:val="22"/>
          <w:szCs w:val="22"/>
        </w:rPr>
        <w:t>.</w:t>
      </w:r>
    </w:p>
    <w:p w:rsidR="00F708DF" w:rsidRDefault="00F708DF" w:rsidP="00504319">
      <w:pPr>
        <w:jc w:val="both"/>
        <w:rPr>
          <w:rFonts w:cs="Arial"/>
          <w:color w:val="auto"/>
          <w:sz w:val="22"/>
          <w:szCs w:val="22"/>
        </w:rPr>
      </w:pPr>
    </w:p>
    <w:p w:rsidR="00844B67" w:rsidRPr="00844B67" w:rsidRDefault="00844B67" w:rsidP="00844B67">
      <w:pPr>
        <w:jc w:val="both"/>
        <w:rPr>
          <w:rFonts w:cs="Arial"/>
          <w:color w:val="auto"/>
          <w:sz w:val="22"/>
          <w:szCs w:val="22"/>
        </w:rPr>
      </w:pPr>
      <w:r w:rsidRPr="00844B67">
        <w:rPr>
          <w:rFonts w:cs="Arial"/>
          <w:color w:val="auto"/>
          <w:sz w:val="22"/>
          <w:szCs w:val="22"/>
          <w:u w:val="single"/>
        </w:rPr>
        <w:t>L’article 5 (3)</w:t>
      </w:r>
      <w:r w:rsidRPr="00844B67">
        <w:rPr>
          <w:rFonts w:cs="Arial"/>
          <w:color w:val="auto"/>
          <w:sz w:val="22"/>
          <w:szCs w:val="22"/>
        </w:rPr>
        <w:t xml:space="preserve"> permet l’application en matière de </w:t>
      </w:r>
      <w:r w:rsidRPr="00681126">
        <w:rPr>
          <w:rFonts w:cs="Arial"/>
          <w:b/>
          <w:color w:val="auto"/>
          <w:sz w:val="22"/>
          <w:szCs w:val="22"/>
          <w:u w:val="single"/>
        </w:rPr>
        <w:t>TVA</w:t>
      </w:r>
      <w:r w:rsidRPr="00844B67">
        <w:rPr>
          <w:rFonts w:cs="Arial"/>
          <w:color w:val="auto"/>
          <w:sz w:val="22"/>
          <w:szCs w:val="22"/>
        </w:rPr>
        <w:t xml:space="preserve"> du </w:t>
      </w:r>
      <w:r w:rsidRPr="00844B67">
        <w:rPr>
          <w:rFonts w:cs="Arial"/>
          <w:color w:val="auto"/>
          <w:sz w:val="22"/>
          <w:szCs w:val="22"/>
          <w:u w:val="single"/>
        </w:rPr>
        <w:t>taux réduit de 8% à la vente, la location et la réparation de bicyclettes</w:t>
      </w:r>
      <w:r w:rsidRPr="00844B67">
        <w:rPr>
          <w:rFonts w:cs="Arial"/>
          <w:color w:val="auto"/>
          <w:sz w:val="22"/>
          <w:szCs w:val="22"/>
        </w:rPr>
        <w:t>, y compris les cycles à pédalage assisté dits «</w:t>
      </w:r>
      <w:r w:rsidR="00953AD9">
        <w:rPr>
          <w:rFonts w:cs="Arial"/>
          <w:color w:val="auto"/>
          <w:sz w:val="22"/>
          <w:szCs w:val="22"/>
        </w:rPr>
        <w:t> </w:t>
      </w:r>
      <w:r w:rsidRPr="00844B67">
        <w:rPr>
          <w:rFonts w:cs="Arial"/>
          <w:color w:val="auto"/>
          <w:sz w:val="22"/>
          <w:szCs w:val="22"/>
        </w:rPr>
        <w:t>vélos électriques</w:t>
      </w:r>
      <w:r w:rsidR="00D47836">
        <w:rPr>
          <w:rFonts w:cs="Arial"/>
          <w:color w:val="auto"/>
          <w:sz w:val="22"/>
          <w:szCs w:val="22"/>
        </w:rPr>
        <w:t> »</w:t>
      </w:r>
      <w:r w:rsidRPr="00844B67">
        <w:rPr>
          <w:rFonts w:cs="Arial"/>
          <w:color w:val="auto"/>
          <w:sz w:val="22"/>
          <w:szCs w:val="22"/>
        </w:rPr>
        <w:t>.</w:t>
      </w:r>
    </w:p>
    <w:p w:rsidR="00844B67" w:rsidRPr="00A61595" w:rsidRDefault="00844B67" w:rsidP="00504319">
      <w:pPr>
        <w:jc w:val="both"/>
        <w:rPr>
          <w:rFonts w:cs="Arial"/>
          <w:color w:val="auto"/>
          <w:sz w:val="22"/>
          <w:szCs w:val="22"/>
        </w:rPr>
      </w:pPr>
    </w:p>
    <w:p w:rsidR="00A61595" w:rsidRPr="00A61595" w:rsidRDefault="00A61595" w:rsidP="00A61595">
      <w:pPr>
        <w:jc w:val="both"/>
        <w:rPr>
          <w:rFonts w:cs="Arial"/>
          <w:color w:val="auto"/>
          <w:sz w:val="22"/>
          <w:szCs w:val="22"/>
        </w:rPr>
      </w:pPr>
      <w:r w:rsidRPr="00A61595">
        <w:rPr>
          <w:rFonts w:cs="Arial"/>
          <w:color w:val="auto"/>
          <w:sz w:val="22"/>
          <w:szCs w:val="22"/>
          <w:u w:val="single"/>
        </w:rPr>
        <w:t>L’article 5 (4)</w:t>
      </w:r>
      <w:r w:rsidRPr="00A61595">
        <w:rPr>
          <w:rFonts w:cs="Arial"/>
          <w:color w:val="auto"/>
          <w:sz w:val="22"/>
          <w:szCs w:val="22"/>
        </w:rPr>
        <w:t xml:space="preserve"> permet l’application en matière de </w:t>
      </w:r>
      <w:r w:rsidRPr="00681126">
        <w:rPr>
          <w:rFonts w:cs="Arial"/>
          <w:b/>
          <w:color w:val="auto"/>
          <w:sz w:val="22"/>
          <w:szCs w:val="22"/>
          <w:u w:val="single"/>
        </w:rPr>
        <w:t>TVA</w:t>
      </w:r>
      <w:r w:rsidRPr="00A61595">
        <w:rPr>
          <w:rFonts w:cs="Arial"/>
          <w:color w:val="auto"/>
          <w:sz w:val="22"/>
          <w:szCs w:val="22"/>
        </w:rPr>
        <w:t xml:space="preserve"> du </w:t>
      </w:r>
      <w:r w:rsidRPr="00A61595">
        <w:rPr>
          <w:rFonts w:cs="Arial"/>
          <w:color w:val="auto"/>
          <w:sz w:val="22"/>
          <w:szCs w:val="22"/>
          <w:u w:val="single"/>
        </w:rPr>
        <w:t>taux super-réduit de 3% à la livraison de panneaux solaires et leur installation</w:t>
      </w:r>
      <w:r w:rsidRPr="00A61595">
        <w:rPr>
          <w:rFonts w:cs="Arial"/>
          <w:color w:val="auto"/>
          <w:sz w:val="22"/>
          <w:szCs w:val="22"/>
        </w:rPr>
        <w:t>.</w:t>
      </w:r>
    </w:p>
    <w:p w:rsidR="00A61595" w:rsidRDefault="00A61595" w:rsidP="00504319">
      <w:pPr>
        <w:jc w:val="both"/>
        <w:rPr>
          <w:rFonts w:cs="Arial"/>
          <w:color w:val="auto"/>
          <w:sz w:val="22"/>
          <w:szCs w:val="22"/>
          <w:lang w:val="fr-CH"/>
        </w:rPr>
      </w:pPr>
    </w:p>
    <w:p w:rsidR="00BF2C8D" w:rsidRPr="000F5437" w:rsidRDefault="00BF2C8D" w:rsidP="00504319">
      <w:pPr>
        <w:jc w:val="both"/>
        <w:rPr>
          <w:rFonts w:cs="Arial"/>
          <w:color w:val="auto"/>
          <w:sz w:val="22"/>
          <w:szCs w:val="22"/>
          <w:lang w:val="fr-CH"/>
        </w:rPr>
      </w:pPr>
      <w:r w:rsidRPr="000F5437">
        <w:rPr>
          <w:rFonts w:cs="Arial"/>
          <w:color w:val="auto"/>
          <w:sz w:val="22"/>
          <w:szCs w:val="22"/>
          <w:u w:val="single"/>
          <w:lang w:val="fr-CH"/>
        </w:rPr>
        <w:t>L’article 6 (1)</w:t>
      </w:r>
      <w:r w:rsidR="000F5437" w:rsidRPr="001958C3">
        <w:rPr>
          <w:rFonts w:cs="Arial"/>
          <w:color w:val="auto"/>
          <w:sz w:val="22"/>
          <w:szCs w:val="22"/>
          <w:u w:val="single"/>
          <w:lang w:val="fr-CH"/>
        </w:rPr>
        <w:t xml:space="preserve"> </w:t>
      </w:r>
      <w:r w:rsidR="000F5437" w:rsidRPr="000F5437">
        <w:rPr>
          <w:rFonts w:cs="Arial"/>
          <w:color w:val="auto"/>
          <w:sz w:val="22"/>
          <w:szCs w:val="22"/>
          <w:u w:val="single"/>
          <w:lang w:val="fr-CH"/>
        </w:rPr>
        <w:t>exonère</w:t>
      </w:r>
      <w:r w:rsidRPr="000F5437">
        <w:rPr>
          <w:rFonts w:cs="Arial"/>
          <w:color w:val="auto"/>
          <w:sz w:val="22"/>
          <w:szCs w:val="22"/>
          <w:lang w:val="fr-CH"/>
        </w:rPr>
        <w:t xml:space="preserve"> </w:t>
      </w:r>
      <w:r w:rsidR="000F5437" w:rsidRPr="000F5437">
        <w:rPr>
          <w:rFonts w:cs="Arial"/>
          <w:sz w:val="22"/>
          <w:szCs w:val="22"/>
        </w:rPr>
        <w:t xml:space="preserve">les </w:t>
      </w:r>
      <w:r w:rsidR="000F5437" w:rsidRPr="000F5437">
        <w:rPr>
          <w:rFonts w:cs="Arial"/>
          <w:b/>
          <w:sz w:val="22"/>
          <w:szCs w:val="22"/>
          <w:u w:val="single"/>
        </w:rPr>
        <w:t>biocarburants et bioliquides à l’état pur</w:t>
      </w:r>
      <w:r w:rsidR="000F5437" w:rsidRPr="000F5437">
        <w:rPr>
          <w:rFonts w:cs="Arial"/>
          <w:sz w:val="22"/>
          <w:szCs w:val="22"/>
        </w:rPr>
        <w:t xml:space="preserve"> du </w:t>
      </w:r>
      <w:r w:rsidRPr="000F5437">
        <w:rPr>
          <w:rFonts w:cs="Arial"/>
          <w:sz w:val="22"/>
          <w:szCs w:val="22"/>
        </w:rPr>
        <w:t>droit d’accise additionnel autonome dénommé «</w:t>
      </w:r>
      <w:r w:rsidR="005D41CD">
        <w:rPr>
          <w:rFonts w:cs="Arial"/>
          <w:sz w:val="22"/>
          <w:szCs w:val="22"/>
        </w:rPr>
        <w:t> </w:t>
      </w:r>
      <w:r w:rsidRPr="000F5437">
        <w:rPr>
          <w:rFonts w:cs="Arial"/>
          <w:sz w:val="22"/>
          <w:szCs w:val="22"/>
          <w:u w:val="single"/>
        </w:rPr>
        <w:t>Taxe CO</w:t>
      </w:r>
      <w:r w:rsidRPr="000F5437">
        <w:rPr>
          <w:rFonts w:cs="Arial"/>
          <w:sz w:val="22"/>
          <w:szCs w:val="22"/>
          <w:u w:val="single"/>
          <w:vertAlign w:val="subscript"/>
        </w:rPr>
        <w:t>2</w:t>
      </w:r>
      <w:r w:rsidR="005D41CD">
        <w:rPr>
          <w:rFonts w:cs="Arial"/>
          <w:sz w:val="22"/>
          <w:szCs w:val="22"/>
        </w:rPr>
        <w:t> </w:t>
      </w:r>
      <w:r w:rsidRPr="000F5437">
        <w:rPr>
          <w:rFonts w:cs="Arial"/>
          <w:sz w:val="22"/>
          <w:szCs w:val="22"/>
        </w:rPr>
        <w:t>»</w:t>
      </w:r>
      <w:r w:rsidR="000F5437" w:rsidRPr="000F5437">
        <w:rPr>
          <w:rFonts w:cs="Arial"/>
          <w:sz w:val="22"/>
          <w:szCs w:val="22"/>
        </w:rPr>
        <w:t xml:space="preserve">. </w:t>
      </w:r>
    </w:p>
    <w:p w:rsidR="00504319" w:rsidRPr="00681126" w:rsidRDefault="00504319" w:rsidP="00504319">
      <w:pPr>
        <w:jc w:val="both"/>
        <w:rPr>
          <w:rFonts w:cs="Arial"/>
          <w:color w:val="auto"/>
          <w:sz w:val="22"/>
          <w:szCs w:val="22"/>
          <w:lang w:val="fr-CH"/>
        </w:rPr>
      </w:pPr>
    </w:p>
    <w:p w:rsidR="00172B25" w:rsidRDefault="00172B25" w:rsidP="00172B25">
      <w:pPr>
        <w:rPr>
          <w:rFonts w:eastAsia="Calibri" w:cs="Arial"/>
          <w:color w:val="auto"/>
          <w:sz w:val="22"/>
          <w:szCs w:val="22"/>
          <w:lang w:eastAsia="en-US"/>
        </w:rPr>
      </w:pPr>
      <w:r w:rsidRPr="00172B25">
        <w:rPr>
          <w:rFonts w:cs="Arial"/>
          <w:sz w:val="22"/>
          <w:szCs w:val="22"/>
          <w:u w:val="single"/>
          <w:lang w:val="fr-LU"/>
        </w:rPr>
        <w:t>L’article 8</w:t>
      </w:r>
      <w:r w:rsidRPr="001958C3">
        <w:rPr>
          <w:rFonts w:cs="Arial"/>
          <w:sz w:val="22"/>
          <w:szCs w:val="22"/>
          <w:u w:val="single"/>
          <w:lang w:val="fr-LU"/>
        </w:rPr>
        <w:t xml:space="preserve"> </w:t>
      </w:r>
      <w:r w:rsidRPr="00172B25">
        <w:rPr>
          <w:rFonts w:eastAsia="Calibri" w:cs="Arial"/>
          <w:color w:val="auto"/>
          <w:sz w:val="22"/>
          <w:szCs w:val="22"/>
          <w:u w:val="single"/>
          <w:lang w:eastAsia="en-US"/>
        </w:rPr>
        <w:t>exclut</w:t>
      </w:r>
      <w:r w:rsidRPr="00172B25">
        <w:rPr>
          <w:rFonts w:eastAsia="Calibri" w:cs="Arial"/>
          <w:color w:val="auto"/>
          <w:sz w:val="22"/>
          <w:szCs w:val="22"/>
          <w:lang w:eastAsia="en-US"/>
        </w:rPr>
        <w:t xml:space="preserve"> les </w:t>
      </w:r>
      <w:r w:rsidRPr="00172B25">
        <w:rPr>
          <w:rFonts w:eastAsia="Calibri" w:cs="Arial"/>
          <w:color w:val="auto"/>
          <w:sz w:val="22"/>
          <w:szCs w:val="22"/>
          <w:u w:val="single"/>
          <w:lang w:eastAsia="en-US"/>
        </w:rPr>
        <w:t>investissements concernant le gaz naturel et le nucléaire</w:t>
      </w:r>
      <w:r w:rsidRPr="00172B25">
        <w:rPr>
          <w:rFonts w:eastAsia="Calibri" w:cs="Arial"/>
          <w:color w:val="auto"/>
          <w:sz w:val="22"/>
          <w:szCs w:val="22"/>
          <w:lang w:eastAsia="en-US"/>
        </w:rPr>
        <w:t xml:space="preserve"> de l’avantage fiscal qu’est la </w:t>
      </w:r>
      <w:r w:rsidRPr="00172B25">
        <w:rPr>
          <w:rFonts w:eastAsia="Calibri" w:cs="Arial"/>
          <w:b/>
          <w:color w:val="auto"/>
          <w:sz w:val="22"/>
          <w:szCs w:val="22"/>
          <w:u w:val="single"/>
          <w:lang w:eastAsia="en-US"/>
        </w:rPr>
        <w:t>taxe d’abonnement réduite</w:t>
      </w:r>
      <w:r w:rsidRPr="00172B25">
        <w:rPr>
          <w:rFonts w:eastAsia="Calibri" w:cs="Arial"/>
          <w:color w:val="auto"/>
          <w:sz w:val="22"/>
          <w:szCs w:val="22"/>
          <w:lang w:eastAsia="en-US"/>
        </w:rPr>
        <w:t xml:space="preserve"> pour fonds d’investissement</w:t>
      </w:r>
      <w:r>
        <w:rPr>
          <w:rFonts w:eastAsia="Calibri" w:cs="Arial"/>
          <w:color w:val="auto"/>
          <w:sz w:val="22"/>
          <w:szCs w:val="22"/>
          <w:lang w:eastAsia="en-US"/>
        </w:rPr>
        <w:t>.</w:t>
      </w:r>
    </w:p>
    <w:p w:rsidR="00172B25" w:rsidRDefault="00172B25" w:rsidP="00172B25">
      <w:pPr>
        <w:rPr>
          <w:rFonts w:ascii="Times New Roman" w:hAnsi="Times New Roman"/>
          <w:szCs w:val="24"/>
        </w:rPr>
      </w:pPr>
    </w:p>
    <w:p w:rsidR="000A2538" w:rsidRPr="000A2538" w:rsidRDefault="000A2538" w:rsidP="000A2538">
      <w:pPr>
        <w:jc w:val="both"/>
        <w:rPr>
          <w:rFonts w:cs="Arial"/>
          <w:sz w:val="22"/>
          <w:szCs w:val="22"/>
        </w:rPr>
      </w:pPr>
      <w:r w:rsidRPr="000A2538">
        <w:rPr>
          <w:rFonts w:cs="Arial"/>
          <w:sz w:val="22"/>
          <w:szCs w:val="22"/>
          <w:u w:val="single"/>
        </w:rPr>
        <w:t>L’article 39</w:t>
      </w:r>
      <w:r w:rsidRPr="000A2538">
        <w:rPr>
          <w:rFonts w:cs="Arial"/>
          <w:sz w:val="22"/>
          <w:szCs w:val="22"/>
        </w:rPr>
        <w:t xml:space="preserve"> </w:t>
      </w:r>
      <w:r w:rsidRPr="000A2538">
        <w:rPr>
          <w:rFonts w:cs="Arial"/>
          <w:color w:val="auto"/>
          <w:sz w:val="22"/>
          <w:szCs w:val="22"/>
          <w:lang w:val="fr-LU"/>
        </w:rPr>
        <w:t xml:space="preserve">confère au ministre ayant le Trésor dans ses attributions l'autorisation d'émettre des </w:t>
      </w:r>
      <w:r w:rsidRPr="000A2538">
        <w:rPr>
          <w:rFonts w:cs="Arial"/>
          <w:b/>
          <w:color w:val="auto"/>
          <w:sz w:val="22"/>
          <w:szCs w:val="22"/>
          <w:u w:val="single"/>
          <w:lang w:val="fr-LU"/>
        </w:rPr>
        <w:t>emprunts</w:t>
      </w:r>
      <w:r w:rsidRPr="001958C3">
        <w:rPr>
          <w:rFonts w:cs="Arial"/>
          <w:color w:val="auto"/>
          <w:sz w:val="22"/>
          <w:szCs w:val="22"/>
          <w:u w:val="single"/>
          <w:lang w:val="fr-LU"/>
        </w:rPr>
        <w:t xml:space="preserve"> </w:t>
      </w:r>
      <w:r w:rsidRPr="000A2538">
        <w:rPr>
          <w:rFonts w:cs="Arial"/>
          <w:color w:val="auto"/>
          <w:sz w:val="22"/>
          <w:szCs w:val="22"/>
          <w:u w:val="single"/>
          <w:lang w:val="fr-LU"/>
        </w:rPr>
        <w:t>pour un montant maximum de 6</w:t>
      </w:r>
      <w:r w:rsidR="000775EB">
        <w:rPr>
          <w:rFonts w:cs="Arial"/>
          <w:color w:val="auto"/>
          <w:sz w:val="22"/>
          <w:szCs w:val="22"/>
          <w:u w:val="single"/>
          <w:lang w:val="fr-LU"/>
        </w:rPr>
        <w:t> </w:t>
      </w:r>
      <w:r w:rsidRPr="000A2538">
        <w:rPr>
          <w:rFonts w:cs="Arial"/>
          <w:color w:val="auto"/>
          <w:sz w:val="22"/>
          <w:szCs w:val="22"/>
          <w:u w:val="single"/>
          <w:lang w:val="fr-LU"/>
        </w:rPr>
        <w:t>000 millions d'euros</w:t>
      </w:r>
      <w:r w:rsidRPr="000A2538">
        <w:rPr>
          <w:rFonts w:cs="Arial"/>
          <w:color w:val="auto"/>
          <w:sz w:val="22"/>
          <w:szCs w:val="22"/>
          <w:lang w:val="fr-LU"/>
        </w:rPr>
        <w:t xml:space="preserve">. Ce montant s’oriente au niveau anticipé des liquidités disponibles en fin d'année 2022, au déficit prévisible de l’Administration centrale ainsi qu’au besoin de refinancement de la dette à moyen et long terme venant à échéance au cours des années 2023 et 2024, tout en prévoyant une marge pour parer à des situations imprévues. Il ne présente aucune indication quant au besoin de financement effectif ou prévisible au cours des exercices en question. Le paragraphe 2 de l’article annule le solde disponible des anciennes autorisations d’emprunts qui n’ont pas été utilisées jusqu’à présent. </w:t>
      </w:r>
    </w:p>
    <w:p w:rsidR="008C12DB" w:rsidRPr="00DF7F80" w:rsidRDefault="008C12DB" w:rsidP="001E264A">
      <w:pPr>
        <w:jc w:val="both"/>
        <w:rPr>
          <w:rFonts w:cs="Arial"/>
          <w:color w:val="7030A0"/>
          <w:sz w:val="22"/>
          <w:szCs w:val="22"/>
        </w:rPr>
      </w:pPr>
    </w:p>
    <w:sectPr w:rsidR="008C12DB" w:rsidRPr="00DF7F80" w:rsidSect="006C287A">
      <w:headerReference w:type="even" r:id="rId8"/>
      <w:footerReference w:type="even" r:id="rId9"/>
      <w:footerReference w:type="default" r:id="rId10"/>
      <w:endnotePr>
        <w:numFmt w:val="decimal"/>
      </w:endnotePr>
      <w:type w:val="continuous"/>
      <w:pgSz w:w="11907" w:h="16840" w:code="199"/>
      <w:pgMar w:top="1418" w:right="1417" w:bottom="1418" w:left="1418"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E95" w:rsidRDefault="00A36E95">
      <w:r>
        <w:separator/>
      </w:r>
    </w:p>
  </w:endnote>
  <w:endnote w:type="continuationSeparator" w:id="0">
    <w:p w:rsidR="00A36E95" w:rsidRDefault="00A36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20007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C09" w:rsidRDefault="000F0C0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0F0C09" w:rsidRDefault="000F0C09">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8EF" w:rsidRDefault="008768EF">
    <w:pPr>
      <w:pStyle w:val="Pieddepage"/>
      <w:jc w:val="center"/>
    </w:pPr>
    <w:r w:rsidRPr="008768EF">
      <w:rPr>
        <w:sz w:val="20"/>
      </w:rPr>
      <w:fldChar w:fldCharType="begin"/>
    </w:r>
    <w:r w:rsidRPr="008768EF">
      <w:rPr>
        <w:sz w:val="20"/>
      </w:rPr>
      <w:instrText>PAGE   \* MERGEFORMAT</w:instrText>
    </w:r>
    <w:r w:rsidRPr="008768EF">
      <w:rPr>
        <w:sz w:val="20"/>
      </w:rPr>
      <w:fldChar w:fldCharType="separate"/>
    </w:r>
    <w:r w:rsidR="00572135">
      <w:rPr>
        <w:noProof/>
        <w:sz w:val="20"/>
      </w:rPr>
      <w:t>1</w:t>
    </w:r>
    <w:r w:rsidRPr="008768EF">
      <w:rPr>
        <w:sz w:val="20"/>
      </w:rPr>
      <w:fldChar w:fldCharType="end"/>
    </w:r>
  </w:p>
  <w:p w:rsidR="000F0C09" w:rsidRDefault="000F0C09">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E95" w:rsidRDefault="00A36E95">
      <w:r>
        <w:separator/>
      </w:r>
    </w:p>
  </w:footnote>
  <w:footnote w:type="continuationSeparator" w:id="0">
    <w:p w:rsidR="00A36E95" w:rsidRDefault="00A36E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C09" w:rsidRDefault="000F0C09">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103</w:t>
    </w:r>
    <w:r>
      <w:rPr>
        <w:rStyle w:val="Numrodepage"/>
      </w:rPr>
      <w:fldChar w:fldCharType="end"/>
    </w:r>
  </w:p>
  <w:p w:rsidR="000F0C09" w:rsidRDefault="000F0C09">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F2AACC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44B5A74"/>
    <w:multiLevelType w:val="multilevel"/>
    <w:tmpl w:val="F0F43FF6"/>
    <w:lvl w:ilvl="0">
      <w:start w:val="2"/>
      <w:numFmt w:val="decimal"/>
      <w:lvlText w:val="Art. %1."/>
      <w:lvlJc w:val="left"/>
      <w:pPr>
        <w:ind w:left="720" w:hanging="360"/>
      </w:pPr>
      <w:rPr>
        <w:rFonts w:hint="default"/>
        <w:b/>
        <w:i w:val="0"/>
        <w:u w:val="none"/>
      </w:rPr>
    </w:lvl>
    <w:lvl w:ilvl="1">
      <w:start w:val="1"/>
      <w:numFmt w:val="decimal"/>
      <w:lvlText w:val="Art. %2er."/>
      <w:lvlJc w:val="left"/>
      <w:pPr>
        <w:ind w:left="1440" w:hanging="360"/>
      </w:pPr>
      <w:rPr>
        <w:rFonts w:hint="default"/>
        <w:b/>
        <w:u w:val="no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6C555A"/>
    <w:multiLevelType w:val="hybridMultilevel"/>
    <w:tmpl w:val="62304A72"/>
    <w:lvl w:ilvl="0" w:tplc="F9887ADE">
      <w:start w:val="24"/>
      <w:numFmt w:val="decimal"/>
      <w:lvlText w:val="Art. %1."/>
      <w:lvlJc w:val="left"/>
      <w:pPr>
        <w:ind w:left="786" w:hanging="360"/>
      </w:pPr>
      <w:rPr>
        <w:rFonts w:ascii="Arial" w:hAnsi="Arial" w:cs="Arial" w:hint="default"/>
        <w:b/>
        <w:i w:val="0"/>
        <w:sz w:val="22"/>
        <w:szCs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071C7DD6"/>
    <w:multiLevelType w:val="hybridMultilevel"/>
    <w:tmpl w:val="747C52E2"/>
    <w:lvl w:ilvl="0" w:tplc="1764A226">
      <w:start w:val="28"/>
      <w:numFmt w:val="decimal"/>
      <w:lvlText w:val="Art. %1."/>
      <w:lvlJc w:val="left"/>
      <w:pPr>
        <w:ind w:left="786" w:hanging="360"/>
      </w:pPr>
      <w:rPr>
        <w:rFonts w:ascii="Arial" w:hAnsi="Arial" w:cs="Arial" w:hint="default"/>
        <w:b/>
        <w:i w:val="0"/>
        <w:sz w:val="22"/>
        <w:szCs w:val="22"/>
        <w:lang w:val="en-US"/>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0A5D52C8"/>
    <w:multiLevelType w:val="hybridMultilevel"/>
    <w:tmpl w:val="0EAE7608"/>
    <w:lvl w:ilvl="0" w:tplc="B6324A88">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20029A"/>
    <w:multiLevelType w:val="singleLevel"/>
    <w:tmpl w:val="F5FC4D7C"/>
    <w:lvl w:ilvl="0">
      <w:start w:val="4"/>
      <w:numFmt w:val="decimal"/>
      <w:pStyle w:val="Titre3"/>
      <w:lvlText w:val="Art. %1.-"/>
      <w:lvlJc w:val="left"/>
      <w:pPr>
        <w:tabs>
          <w:tab w:val="num" w:pos="1287"/>
        </w:tabs>
        <w:ind w:left="360" w:firstLine="207"/>
      </w:pPr>
      <w:rPr>
        <w:rFonts w:ascii="Times" w:hAnsi="Times" w:hint="default"/>
        <w:b/>
        <w:i w:val="0"/>
        <w:sz w:val="20"/>
      </w:rPr>
    </w:lvl>
  </w:abstractNum>
  <w:abstractNum w:abstractNumId="6" w15:restartNumberingAfterBreak="0">
    <w:nsid w:val="0C280458"/>
    <w:multiLevelType w:val="hybridMultilevel"/>
    <w:tmpl w:val="9ED04194"/>
    <w:lvl w:ilvl="0" w:tplc="C51AFF12">
      <w:start w:val="19"/>
      <w:numFmt w:val="decimal"/>
      <w:lvlText w:val="Art. %1."/>
      <w:lvlJc w:val="left"/>
      <w:pPr>
        <w:ind w:left="786" w:hanging="360"/>
      </w:pPr>
      <w:rPr>
        <w:rFonts w:ascii="Arial" w:hAnsi="Arial" w:cs="Arial" w:hint="default"/>
        <w:b/>
        <w:i w:val="0"/>
        <w:sz w:val="22"/>
        <w:szCs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0DA35AD3"/>
    <w:multiLevelType w:val="hybridMultilevel"/>
    <w:tmpl w:val="5FB04134"/>
    <w:lvl w:ilvl="0" w:tplc="BCE4FF74">
      <w:start w:val="22"/>
      <w:numFmt w:val="decimal"/>
      <w:lvlText w:val="Art. %1."/>
      <w:lvlJc w:val="left"/>
      <w:pPr>
        <w:ind w:left="786" w:hanging="360"/>
      </w:pPr>
      <w:rPr>
        <w:rFonts w:ascii="Arial" w:hAnsi="Arial" w:cs="Arial" w:hint="default"/>
        <w:b/>
        <w:i w:val="0"/>
        <w:sz w:val="22"/>
        <w:szCs w:val="22"/>
        <w:lang w:val="fr-LU"/>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10096008"/>
    <w:multiLevelType w:val="singleLevel"/>
    <w:tmpl w:val="9B4E68E4"/>
    <w:lvl w:ilvl="0">
      <w:numFmt w:val="none"/>
      <w:pStyle w:val="Titre1"/>
      <w:lvlText w:val=""/>
      <w:lvlJc w:val="left"/>
      <w:pPr>
        <w:tabs>
          <w:tab w:val="num" w:pos="360"/>
        </w:tabs>
      </w:pPr>
    </w:lvl>
  </w:abstractNum>
  <w:abstractNum w:abstractNumId="9" w15:restartNumberingAfterBreak="0">
    <w:nsid w:val="1A171F41"/>
    <w:multiLevelType w:val="hybridMultilevel"/>
    <w:tmpl w:val="5FB4D24E"/>
    <w:lvl w:ilvl="0" w:tplc="A05C9748">
      <w:start w:val="10"/>
      <w:numFmt w:val="decimal"/>
      <w:lvlText w:val="Art. %1."/>
      <w:lvlJc w:val="left"/>
      <w:pPr>
        <w:ind w:left="786" w:hanging="360"/>
      </w:pPr>
      <w:rPr>
        <w:rFonts w:ascii="Arial" w:hAnsi="Arial" w:cs="Arial" w:hint="default"/>
        <w:b/>
        <w:i w:val="0"/>
        <w:sz w:val="22"/>
        <w:szCs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1AD175EB"/>
    <w:multiLevelType w:val="hybridMultilevel"/>
    <w:tmpl w:val="E18A2E22"/>
    <w:lvl w:ilvl="0" w:tplc="3E60773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1C66D0"/>
    <w:multiLevelType w:val="hybridMultilevel"/>
    <w:tmpl w:val="279AB51E"/>
    <w:lvl w:ilvl="0" w:tplc="D85A95D2">
      <w:start w:val="5"/>
      <w:numFmt w:val="decimal"/>
      <w:lvlText w:val="Art. %1."/>
      <w:lvlJc w:val="left"/>
      <w:pPr>
        <w:ind w:left="5039" w:hanging="360"/>
      </w:pPr>
      <w:rPr>
        <w:rFonts w:ascii="Arial" w:hAnsi="Arial" w:cs="Arial" w:hint="default"/>
        <w:b/>
        <w:i w:val="0"/>
        <w:sz w:val="22"/>
        <w:szCs w:val="22"/>
      </w:rPr>
    </w:lvl>
    <w:lvl w:ilvl="1" w:tplc="140C0019" w:tentative="1">
      <w:start w:val="1"/>
      <w:numFmt w:val="lowerLetter"/>
      <w:lvlText w:val="%2."/>
      <w:lvlJc w:val="left"/>
      <w:pPr>
        <w:ind w:left="3142" w:hanging="360"/>
      </w:pPr>
    </w:lvl>
    <w:lvl w:ilvl="2" w:tplc="140C001B" w:tentative="1">
      <w:start w:val="1"/>
      <w:numFmt w:val="lowerRoman"/>
      <w:lvlText w:val="%3."/>
      <w:lvlJc w:val="right"/>
      <w:pPr>
        <w:ind w:left="3862" w:hanging="180"/>
      </w:pPr>
    </w:lvl>
    <w:lvl w:ilvl="3" w:tplc="140C000F" w:tentative="1">
      <w:start w:val="1"/>
      <w:numFmt w:val="decimal"/>
      <w:lvlText w:val="%4."/>
      <w:lvlJc w:val="left"/>
      <w:pPr>
        <w:ind w:left="4582" w:hanging="360"/>
      </w:pPr>
    </w:lvl>
    <w:lvl w:ilvl="4" w:tplc="140C0019" w:tentative="1">
      <w:start w:val="1"/>
      <w:numFmt w:val="lowerLetter"/>
      <w:lvlText w:val="%5."/>
      <w:lvlJc w:val="left"/>
      <w:pPr>
        <w:ind w:left="5302" w:hanging="360"/>
      </w:pPr>
    </w:lvl>
    <w:lvl w:ilvl="5" w:tplc="140C001B" w:tentative="1">
      <w:start w:val="1"/>
      <w:numFmt w:val="lowerRoman"/>
      <w:lvlText w:val="%6."/>
      <w:lvlJc w:val="right"/>
      <w:pPr>
        <w:ind w:left="6022" w:hanging="180"/>
      </w:pPr>
    </w:lvl>
    <w:lvl w:ilvl="6" w:tplc="140C000F" w:tentative="1">
      <w:start w:val="1"/>
      <w:numFmt w:val="decimal"/>
      <w:lvlText w:val="%7."/>
      <w:lvlJc w:val="left"/>
      <w:pPr>
        <w:ind w:left="6742" w:hanging="360"/>
      </w:pPr>
    </w:lvl>
    <w:lvl w:ilvl="7" w:tplc="140C0019" w:tentative="1">
      <w:start w:val="1"/>
      <w:numFmt w:val="lowerLetter"/>
      <w:lvlText w:val="%8."/>
      <w:lvlJc w:val="left"/>
      <w:pPr>
        <w:ind w:left="7462" w:hanging="360"/>
      </w:pPr>
    </w:lvl>
    <w:lvl w:ilvl="8" w:tplc="140C001B" w:tentative="1">
      <w:start w:val="1"/>
      <w:numFmt w:val="lowerRoman"/>
      <w:lvlText w:val="%9."/>
      <w:lvlJc w:val="right"/>
      <w:pPr>
        <w:ind w:left="8182" w:hanging="180"/>
      </w:pPr>
    </w:lvl>
  </w:abstractNum>
  <w:abstractNum w:abstractNumId="12" w15:restartNumberingAfterBreak="0">
    <w:nsid w:val="2E7867E8"/>
    <w:multiLevelType w:val="singleLevel"/>
    <w:tmpl w:val="604000D6"/>
    <w:lvl w:ilvl="0">
      <w:numFmt w:val="none"/>
      <w:pStyle w:val="Lgende"/>
      <w:lvlText w:val=""/>
      <w:lvlJc w:val="left"/>
      <w:pPr>
        <w:tabs>
          <w:tab w:val="num" w:pos="360"/>
        </w:tabs>
      </w:pPr>
    </w:lvl>
  </w:abstractNum>
  <w:abstractNum w:abstractNumId="13" w15:restartNumberingAfterBreak="0">
    <w:nsid w:val="323974DE"/>
    <w:multiLevelType w:val="hybridMultilevel"/>
    <w:tmpl w:val="90E675A6"/>
    <w:lvl w:ilvl="0" w:tplc="3C10898C">
      <w:start w:val="15"/>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4" w15:restartNumberingAfterBreak="0">
    <w:nsid w:val="46AA3A65"/>
    <w:multiLevelType w:val="hybridMultilevel"/>
    <w:tmpl w:val="0390FC52"/>
    <w:lvl w:ilvl="0" w:tplc="863A012E">
      <w:start w:val="1"/>
      <w:numFmt w:val="decimal"/>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CB288B"/>
    <w:multiLevelType w:val="hybridMultilevel"/>
    <w:tmpl w:val="221A8770"/>
    <w:lvl w:ilvl="0" w:tplc="9CB0865A">
      <w:start w:val="41"/>
      <w:numFmt w:val="decimal"/>
      <w:lvlText w:val="Art. %1."/>
      <w:lvlJc w:val="left"/>
      <w:pPr>
        <w:ind w:left="786" w:hanging="360"/>
      </w:pPr>
      <w:rPr>
        <w:rFonts w:ascii="Arial" w:hAnsi="Arial" w:cs="Arial" w:hint="default"/>
        <w:b/>
        <w:i w:val="0"/>
        <w:sz w:val="22"/>
        <w:szCs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50076BCA"/>
    <w:multiLevelType w:val="hybridMultilevel"/>
    <w:tmpl w:val="3F561500"/>
    <w:lvl w:ilvl="0" w:tplc="29B2DBFC">
      <w:start w:val="3"/>
      <w:numFmt w:val="decimal"/>
      <w:lvlText w:val="Art. %1."/>
      <w:lvlJc w:val="left"/>
      <w:pPr>
        <w:ind w:left="927" w:hanging="360"/>
      </w:pPr>
      <w:rPr>
        <w:rFonts w:ascii="Arial" w:hAnsi="Arial" w:cs="Arial" w:hint="default"/>
        <w:b/>
        <w:i w:val="0"/>
        <w:sz w:val="22"/>
        <w:szCs w:val="22"/>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28A4073"/>
    <w:multiLevelType w:val="hybridMultilevel"/>
    <w:tmpl w:val="97B0B59C"/>
    <w:lvl w:ilvl="0" w:tplc="2676DCEA">
      <w:start w:val="6"/>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8" w15:restartNumberingAfterBreak="0">
    <w:nsid w:val="5363437C"/>
    <w:multiLevelType w:val="hybridMultilevel"/>
    <w:tmpl w:val="495CE142"/>
    <w:lvl w:ilvl="0" w:tplc="558A04CE">
      <w:start w:val="1"/>
      <w:numFmt w:val="lowerLetter"/>
      <w:lvlText w:val="%1)"/>
      <w:lvlJc w:val="left"/>
      <w:pPr>
        <w:ind w:left="1080" w:hanging="360"/>
      </w:pPr>
      <w:rPr>
        <w:rFonts w:ascii="Calibri" w:eastAsia="Calibri" w:hAnsi="Calibri"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668F4EAB"/>
    <w:multiLevelType w:val="hybridMultilevel"/>
    <w:tmpl w:val="91249B80"/>
    <w:lvl w:ilvl="0" w:tplc="4948B406">
      <w:start w:val="36"/>
      <w:numFmt w:val="decimal"/>
      <w:lvlText w:val="Art. %1."/>
      <w:lvlJc w:val="left"/>
      <w:pPr>
        <w:ind w:left="786" w:hanging="360"/>
      </w:pPr>
      <w:rPr>
        <w:rFonts w:ascii="Arial" w:hAnsi="Arial" w:cs="Arial" w:hint="default"/>
        <w:b/>
        <w:i w:val="0"/>
        <w:sz w:val="22"/>
        <w:szCs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0" w15:restartNumberingAfterBreak="0">
    <w:nsid w:val="674B7F03"/>
    <w:multiLevelType w:val="hybridMultilevel"/>
    <w:tmpl w:val="9CE80C58"/>
    <w:lvl w:ilvl="0" w:tplc="F168A6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0C80869"/>
    <w:multiLevelType w:val="hybridMultilevel"/>
    <w:tmpl w:val="9FC4AF76"/>
    <w:lvl w:ilvl="0" w:tplc="D39A3C52">
      <w:start w:val="1"/>
      <w:numFmt w:val="decimal"/>
      <w:lvlText w:val="%1)"/>
      <w:lvlJc w:val="left"/>
      <w:pPr>
        <w:ind w:left="705" w:hanging="705"/>
      </w:pPr>
      <w:rPr>
        <w:rFonts w:hint="default"/>
      </w:r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22" w15:restartNumberingAfterBreak="0">
    <w:nsid w:val="715D558B"/>
    <w:multiLevelType w:val="hybridMultilevel"/>
    <w:tmpl w:val="FA8C96D4"/>
    <w:lvl w:ilvl="0" w:tplc="C2942FA2">
      <w:start w:val="44"/>
      <w:numFmt w:val="decimal"/>
      <w:lvlText w:val="Art. %1."/>
      <w:lvlJc w:val="left"/>
      <w:pPr>
        <w:ind w:left="360" w:hanging="360"/>
      </w:pPr>
      <w:rPr>
        <w:rFonts w:ascii="Arial" w:hAnsi="Arial" w:cs="Arial" w:hint="default"/>
        <w:b/>
        <w:i w:val="0"/>
        <w:sz w:val="22"/>
        <w:szCs w:val="22"/>
      </w:rPr>
    </w:lvl>
    <w:lvl w:ilvl="1" w:tplc="140C0019" w:tentative="1">
      <w:start w:val="1"/>
      <w:numFmt w:val="lowerLetter"/>
      <w:lvlText w:val="%2."/>
      <w:lvlJc w:val="left"/>
      <w:pPr>
        <w:ind w:left="1014" w:hanging="360"/>
      </w:pPr>
    </w:lvl>
    <w:lvl w:ilvl="2" w:tplc="140C001B" w:tentative="1">
      <w:start w:val="1"/>
      <w:numFmt w:val="lowerRoman"/>
      <w:lvlText w:val="%3."/>
      <w:lvlJc w:val="right"/>
      <w:pPr>
        <w:ind w:left="1734" w:hanging="180"/>
      </w:pPr>
    </w:lvl>
    <w:lvl w:ilvl="3" w:tplc="140C000F" w:tentative="1">
      <w:start w:val="1"/>
      <w:numFmt w:val="decimal"/>
      <w:lvlText w:val="%4."/>
      <w:lvlJc w:val="left"/>
      <w:pPr>
        <w:ind w:left="2454" w:hanging="360"/>
      </w:pPr>
    </w:lvl>
    <w:lvl w:ilvl="4" w:tplc="140C0019" w:tentative="1">
      <w:start w:val="1"/>
      <w:numFmt w:val="lowerLetter"/>
      <w:lvlText w:val="%5."/>
      <w:lvlJc w:val="left"/>
      <w:pPr>
        <w:ind w:left="3174" w:hanging="360"/>
      </w:pPr>
    </w:lvl>
    <w:lvl w:ilvl="5" w:tplc="140C001B" w:tentative="1">
      <w:start w:val="1"/>
      <w:numFmt w:val="lowerRoman"/>
      <w:lvlText w:val="%6."/>
      <w:lvlJc w:val="right"/>
      <w:pPr>
        <w:ind w:left="3894" w:hanging="180"/>
      </w:pPr>
    </w:lvl>
    <w:lvl w:ilvl="6" w:tplc="140C000F" w:tentative="1">
      <w:start w:val="1"/>
      <w:numFmt w:val="decimal"/>
      <w:lvlText w:val="%7."/>
      <w:lvlJc w:val="left"/>
      <w:pPr>
        <w:ind w:left="4614" w:hanging="360"/>
      </w:pPr>
    </w:lvl>
    <w:lvl w:ilvl="7" w:tplc="140C0019" w:tentative="1">
      <w:start w:val="1"/>
      <w:numFmt w:val="lowerLetter"/>
      <w:lvlText w:val="%8."/>
      <w:lvlJc w:val="left"/>
      <w:pPr>
        <w:ind w:left="5334" w:hanging="360"/>
      </w:pPr>
    </w:lvl>
    <w:lvl w:ilvl="8" w:tplc="140C001B" w:tentative="1">
      <w:start w:val="1"/>
      <w:numFmt w:val="lowerRoman"/>
      <w:lvlText w:val="%9."/>
      <w:lvlJc w:val="right"/>
      <w:pPr>
        <w:ind w:left="6054" w:hanging="180"/>
      </w:pPr>
    </w:lvl>
  </w:abstractNum>
  <w:abstractNum w:abstractNumId="23" w15:restartNumberingAfterBreak="0">
    <w:nsid w:val="79353EDF"/>
    <w:multiLevelType w:val="hybridMultilevel"/>
    <w:tmpl w:val="7EDE857E"/>
    <w:lvl w:ilvl="0" w:tplc="3E60773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5"/>
  </w:num>
  <w:num w:numId="4">
    <w:abstractNumId w:val="16"/>
  </w:num>
  <w:num w:numId="5">
    <w:abstractNumId w:val="21"/>
  </w:num>
  <w:num w:numId="6">
    <w:abstractNumId w:val="11"/>
  </w:num>
  <w:num w:numId="7">
    <w:abstractNumId w:val="9"/>
  </w:num>
  <w:num w:numId="8">
    <w:abstractNumId w:val="6"/>
  </w:num>
  <w:num w:numId="9">
    <w:abstractNumId w:val="7"/>
  </w:num>
  <w:num w:numId="10">
    <w:abstractNumId w:val="2"/>
  </w:num>
  <w:num w:numId="11">
    <w:abstractNumId w:val="3"/>
  </w:num>
  <w:num w:numId="12">
    <w:abstractNumId w:val="19"/>
  </w:num>
  <w:num w:numId="13">
    <w:abstractNumId w:val="15"/>
  </w:num>
  <w:num w:numId="14">
    <w:abstractNumId w:val="2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 w:numId="21">
    <w:abstractNumId w:val="10"/>
  </w:num>
  <w:num w:numId="22">
    <w:abstractNumId w:val="13"/>
  </w:num>
  <w:num w:numId="23">
    <w:abstractNumId w:val="23"/>
  </w:num>
  <w:num w:numId="24">
    <w:abstractNumId w:val="0"/>
  </w:num>
  <w:num w:numId="25">
    <w:abstractNumId w:val="23"/>
    <w:lvlOverride w:ilvl="0">
      <w:startOverride w:val="1"/>
    </w:lvlOverride>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intFractionalCharacterWidth/>
  <w:embedSystemFonts/>
  <w:activeWritingStyle w:appName="MSWord" w:lang="fr-LU" w:vendorID="64" w:dllVersion="6" w:nlCheck="1" w:checkStyle="0"/>
  <w:activeWritingStyle w:appName="MSWord" w:lang="fr-FR" w:vendorID="64" w:dllVersion="6" w:nlCheck="1" w:checkStyle="0"/>
  <w:activeWritingStyle w:appName="MSWord" w:lang="fr-CH" w:vendorID="64" w:dllVersion="6" w:nlCheck="1" w:checkStyle="0"/>
  <w:activeWritingStyle w:appName="MSWord" w:lang="en-US" w:vendorID="64" w:dllVersion="6" w:nlCheck="1" w:checkStyle="0"/>
  <w:activeWritingStyle w:appName="MSWord" w:lang="de-DE" w:vendorID="64" w:dllVersion="6" w:nlCheck="1" w:checkStyle="0"/>
  <w:activeWritingStyle w:appName="MSWord" w:lang="en-GB" w:vendorID="64" w:dllVersion="6" w:nlCheck="1" w:checkStyle="1"/>
  <w:activeWritingStyle w:appName="MSWord" w:lang="fr-CA" w:vendorID="64" w:dllVersion="6" w:nlCheck="1" w:checkStyle="1"/>
  <w:activeWritingStyle w:appName="MSWord" w:lang="fr-LU"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BE" w:vendorID="64" w:dllVersion="4096" w:nlCheck="1" w:checkStyle="0"/>
  <w:activeWritingStyle w:appName="MSWord" w:lang="fr-CH" w:vendorID="64" w:dllVersion="4096" w:nlCheck="1" w:checkStyle="0"/>
  <w:activeWritingStyle w:appName="MSWord" w:lang="fr-FR" w:vendorID="64" w:dllVersion="0" w:nlCheck="1" w:checkStyle="0"/>
  <w:activeWritingStyle w:appName="MSWord" w:lang="fr-LU" w:vendorID="64" w:dllVersion="0" w:nlCheck="1" w:checkStyle="0"/>
  <w:activeWritingStyle w:appName="MSWord" w:lang="fr-CH" w:vendorID="64" w:dllVersion="0"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37"/>
  <w:hyphenationZone w:val="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pos w:val="sectEnd"/>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3AE"/>
    <w:rsid w:val="0000012C"/>
    <w:rsid w:val="00003185"/>
    <w:rsid w:val="00003346"/>
    <w:rsid w:val="000060DD"/>
    <w:rsid w:val="000063A8"/>
    <w:rsid w:val="00006956"/>
    <w:rsid w:val="0000756F"/>
    <w:rsid w:val="00010FDA"/>
    <w:rsid w:val="00012024"/>
    <w:rsid w:val="0001232E"/>
    <w:rsid w:val="0001261A"/>
    <w:rsid w:val="00012B1D"/>
    <w:rsid w:val="0001334D"/>
    <w:rsid w:val="00013406"/>
    <w:rsid w:val="00013BFE"/>
    <w:rsid w:val="000141D4"/>
    <w:rsid w:val="00015BE4"/>
    <w:rsid w:val="00015FFE"/>
    <w:rsid w:val="0001624C"/>
    <w:rsid w:val="000165DB"/>
    <w:rsid w:val="00017147"/>
    <w:rsid w:val="0001726D"/>
    <w:rsid w:val="0002049B"/>
    <w:rsid w:val="00020768"/>
    <w:rsid w:val="00021373"/>
    <w:rsid w:val="00022C98"/>
    <w:rsid w:val="00023834"/>
    <w:rsid w:val="00025987"/>
    <w:rsid w:val="00025FE1"/>
    <w:rsid w:val="00027DC5"/>
    <w:rsid w:val="00027E63"/>
    <w:rsid w:val="00031A8F"/>
    <w:rsid w:val="00032989"/>
    <w:rsid w:val="00032C83"/>
    <w:rsid w:val="00033131"/>
    <w:rsid w:val="00033382"/>
    <w:rsid w:val="00033EF8"/>
    <w:rsid w:val="00034186"/>
    <w:rsid w:val="000346D5"/>
    <w:rsid w:val="000359C3"/>
    <w:rsid w:val="00035A30"/>
    <w:rsid w:val="00035BE6"/>
    <w:rsid w:val="00035C4A"/>
    <w:rsid w:val="000402DB"/>
    <w:rsid w:val="00040E69"/>
    <w:rsid w:val="00041840"/>
    <w:rsid w:val="00042635"/>
    <w:rsid w:val="0004280E"/>
    <w:rsid w:val="000428E1"/>
    <w:rsid w:val="00042C55"/>
    <w:rsid w:val="00043442"/>
    <w:rsid w:val="00043A76"/>
    <w:rsid w:val="00044F51"/>
    <w:rsid w:val="00045012"/>
    <w:rsid w:val="000450DB"/>
    <w:rsid w:val="00045D00"/>
    <w:rsid w:val="00046B10"/>
    <w:rsid w:val="00047238"/>
    <w:rsid w:val="00047D82"/>
    <w:rsid w:val="00050F1B"/>
    <w:rsid w:val="00052604"/>
    <w:rsid w:val="0005291A"/>
    <w:rsid w:val="0005618F"/>
    <w:rsid w:val="00056C88"/>
    <w:rsid w:val="0005731E"/>
    <w:rsid w:val="000573B0"/>
    <w:rsid w:val="00060748"/>
    <w:rsid w:val="00060E9A"/>
    <w:rsid w:val="000610BD"/>
    <w:rsid w:val="00061BBC"/>
    <w:rsid w:val="00062819"/>
    <w:rsid w:val="000639E3"/>
    <w:rsid w:val="00064A66"/>
    <w:rsid w:val="00066BBA"/>
    <w:rsid w:val="000676B5"/>
    <w:rsid w:val="000679A4"/>
    <w:rsid w:val="0007233A"/>
    <w:rsid w:val="0007344B"/>
    <w:rsid w:val="0007430D"/>
    <w:rsid w:val="00074F1F"/>
    <w:rsid w:val="00075C22"/>
    <w:rsid w:val="00075CC1"/>
    <w:rsid w:val="0007709A"/>
    <w:rsid w:val="000774D6"/>
    <w:rsid w:val="000775EB"/>
    <w:rsid w:val="00077938"/>
    <w:rsid w:val="00077D33"/>
    <w:rsid w:val="00077DB3"/>
    <w:rsid w:val="000801A0"/>
    <w:rsid w:val="000803F2"/>
    <w:rsid w:val="00080450"/>
    <w:rsid w:val="0008071D"/>
    <w:rsid w:val="00081D06"/>
    <w:rsid w:val="000823A9"/>
    <w:rsid w:val="000828B8"/>
    <w:rsid w:val="0008316B"/>
    <w:rsid w:val="000846B2"/>
    <w:rsid w:val="000857DF"/>
    <w:rsid w:val="000868C4"/>
    <w:rsid w:val="000868EC"/>
    <w:rsid w:val="000874AB"/>
    <w:rsid w:val="000913D5"/>
    <w:rsid w:val="00096173"/>
    <w:rsid w:val="0009650B"/>
    <w:rsid w:val="0009652C"/>
    <w:rsid w:val="000A1016"/>
    <w:rsid w:val="000A108B"/>
    <w:rsid w:val="000A1570"/>
    <w:rsid w:val="000A2538"/>
    <w:rsid w:val="000A2680"/>
    <w:rsid w:val="000A41E5"/>
    <w:rsid w:val="000A47AB"/>
    <w:rsid w:val="000A5C49"/>
    <w:rsid w:val="000A737C"/>
    <w:rsid w:val="000A765B"/>
    <w:rsid w:val="000B00B2"/>
    <w:rsid w:val="000B1E4B"/>
    <w:rsid w:val="000B3934"/>
    <w:rsid w:val="000B3DD8"/>
    <w:rsid w:val="000B520F"/>
    <w:rsid w:val="000B636A"/>
    <w:rsid w:val="000B639D"/>
    <w:rsid w:val="000B645B"/>
    <w:rsid w:val="000B668B"/>
    <w:rsid w:val="000B7F55"/>
    <w:rsid w:val="000C0037"/>
    <w:rsid w:val="000C051E"/>
    <w:rsid w:val="000C0824"/>
    <w:rsid w:val="000C0C2C"/>
    <w:rsid w:val="000C1255"/>
    <w:rsid w:val="000C215A"/>
    <w:rsid w:val="000C2522"/>
    <w:rsid w:val="000C4F77"/>
    <w:rsid w:val="000C5448"/>
    <w:rsid w:val="000C56D4"/>
    <w:rsid w:val="000C6296"/>
    <w:rsid w:val="000C6A7B"/>
    <w:rsid w:val="000C7D97"/>
    <w:rsid w:val="000D001C"/>
    <w:rsid w:val="000D050B"/>
    <w:rsid w:val="000D1B93"/>
    <w:rsid w:val="000D2E8B"/>
    <w:rsid w:val="000D2EF9"/>
    <w:rsid w:val="000D355A"/>
    <w:rsid w:val="000D3B5A"/>
    <w:rsid w:val="000D3BE7"/>
    <w:rsid w:val="000D4021"/>
    <w:rsid w:val="000D432A"/>
    <w:rsid w:val="000D4789"/>
    <w:rsid w:val="000E0355"/>
    <w:rsid w:val="000E1E9B"/>
    <w:rsid w:val="000E2F2B"/>
    <w:rsid w:val="000E36AE"/>
    <w:rsid w:val="000E4208"/>
    <w:rsid w:val="000E728A"/>
    <w:rsid w:val="000E7615"/>
    <w:rsid w:val="000F09A1"/>
    <w:rsid w:val="000F0C09"/>
    <w:rsid w:val="000F0F47"/>
    <w:rsid w:val="000F1FBC"/>
    <w:rsid w:val="000F32B4"/>
    <w:rsid w:val="000F3660"/>
    <w:rsid w:val="000F4943"/>
    <w:rsid w:val="000F5437"/>
    <w:rsid w:val="000F5F99"/>
    <w:rsid w:val="000F6A43"/>
    <w:rsid w:val="000F726C"/>
    <w:rsid w:val="000F7877"/>
    <w:rsid w:val="000F7F66"/>
    <w:rsid w:val="001002A9"/>
    <w:rsid w:val="00100322"/>
    <w:rsid w:val="00100E83"/>
    <w:rsid w:val="001015AE"/>
    <w:rsid w:val="001049FA"/>
    <w:rsid w:val="001053B1"/>
    <w:rsid w:val="0010580B"/>
    <w:rsid w:val="00105853"/>
    <w:rsid w:val="00105E56"/>
    <w:rsid w:val="0010635B"/>
    <w:rsid w:val="001066EA"/>
    <w:rsid w:val="00107716"/>
    <w:rsid w:val="00110134"/>
    <w:rsid w:val="00110293"/>
    <w:rsid w:val="00111D0A"/>
    <w:rsid w:val="00112164"/>
    <w:rsid w:val="00113CCC"/>
    <w:rsid w:val="00113F65"/>
    <w:rsid w:val="00115427"/>
    <w:rsid w:val="00115AC4"/>
    <w:rsid w:val="001167A2"/>
    <w:rsid w:val="00117B41"/>
    <w:rsid w:val="00120BAB"/>
    <w:rsid w:val="0012207A"/>
    <w:rsid w:val="001230F7"/>
    <w:rsid w:val="001238E1"/>
    <w:rsid w:val="001246A0"/>
    <w:rsid w:val="00130EFC"/>
    <w:rsid w:val="001319CE"/>
    <w:rsid w:val="00132B95"/>
    <w:rsid w:val="00132E4F"/>
    <w:rsid w:val="00133C55"/>
    <w:rsid w:val="0013420B"/>
    <w:rsid w:val="0013444F"/>
    <w:rsid w:val="00135AE7"/>
    <w:rsid w:val="0013663F"/>
    <w:rsid w:val="00136F5C"/>
    <w:rsid w:val="001379CB"/>
    <w:rsid w:val="00137FA4"/>
    <w:rsid w:val="00140C8C"/>
    <w:rsid w:val="00142B2E"/>
    <w:rsid w:val="00144102"/>
    <w:rsid w:val="00144784"/>
    <w:rsid w:val="00145771"/>
    <w:rsid w:val="00145888"/>
    <w:rsid w:val="0014592E"/>
    <w:rsid w:val="00146487"/>
    <w:rsid w:val="00147BE1"/>
    <w:rsid w:val="00147F76"/>
    <w:rsid w:val="0015045D"/>
    <w:rsid w:val="00150BC6"/>
    <w:rsid w:val="001519C7"/>
    <w:rsid w:val="00151A99"/>
    <w:rsid w:val="00151E76"/>
    <w:rsid w:val="00153569"/>
    <w:rsid w:val="00154690"/>
    <w:rsid w:val="00155985"/>
    <w:rsid w:val="00161EAF"/>
    <w:rsid w:val="00161FD6"/>
    <w:rsid w:val="0016280D"/>
    <w:rsid w:val="00164580"/>
    <w:rsid w:val="00164920"/>
    <w:rsid w:val="00165AB4"/>
    <w:rsid w:val="001662D7"/>
    <w:rsid w:val="001665FB"/>
    <w:rsid w:val="001670E3"/>
    <w:rsid w:val="001674E6"/>
    <w:rsid w:val="00167E38"/>
    <w:rsid w:val="00170E30"/>
    <w:rsid w:val="00172A93"/>
    <w:rsid w:val="00172B25"/>
    <w:rsid w:val="00173BC0"/>
    <w:rsid w:val="00173C54"/>
    <w:rsid w:val="00175273"/>
    <w:rsid w:val="0017551E"/>
    <w:rsid w:val="0017686E"/>
    <w:rsid w:val="00177A42"/>
    <w:rsid w:val="00177C29"/>
    <w:rsid w:val="00177FD7"/>
    <w:rsid w:val="00180E8A"/>
    <w:rsid w:val="0018193F"/>
    <w:rsid w:val="00182194"/>
    <w:rsid w:val="0018278B"/>
    <w:rsid w:val="001875FA"/>
    <w:rsid w:val="001879F9"/>
    <w:rsid w:val="00190D23"/>
    <w:rsid w:val="00191B70"/>
    <w:rsid w:val="00192B94"/>
    <w:rsid w:val="00192D14"/>
    <w:rsid w:val="0019313E"/>
    <w:rsid w:val="00194819"/>
    <w:rsid w:val="00195658"/>
    <w:rsid w:val="001958C3"/>
    <w:rsid w:val="00196639"/>
    <w:rsid w:val="001A2685"/>
    <w:rsid w:val="001A2FB5"/>
    <w:rsid w:val="001A3214"/>
    <w:rsid w:val="001A5685"/>
    <w:rsid w:val="001A5D98"/>
    <w:rsid w:val="001A67E4"/>
    <w:rsid w:val="001B08B8"/>
    <w:rsid w:val="001B13FE"/>
    <w:rsid w:val="001B1FD2"/>
    <w:rsid w:val="001B1FF6"/>
    <w:rsid w:val="001B3704"/>
    <w:rsid w:val="001B48F3"/>
    <w:rsid w:val="001B5633"/>
    <w:rsid w:val="001B5961"/>
    <w:rsid w:val="001B5EEB"/>
    <w:rsid w:val="001B71E6"/>
    <w:rsid w:val="001B7320"/>
    <w:rsid w:val="001C0DC3"/>
    <w:rsid w:val="001C1D06"/>
    <w:rsid w:val="001C28A8"/>
    <w:rsid w:val="001C51BE"/>
    <w:rsid w:val="001C638C"/>
    <w:rsid w:val="001C6A34"/>
    <w:rsid w:val="001C6E4B"/>
    <w:rsid w:val="001C73AE"/>
    <w:rsid w:val="001D0217"/>
    <w:rsid w:val="001D0CEA"/>
    <w:rsid w:val="001D10D7"/>
    <w:rsid w:val="001D253B"/>
    <w:rsid w:val="001D2560"/>
    <w:rsid w:val="001D3074"/>
    <w:rsid w:val="001D5541"/>
    <w:rsid w:val="001D5F6B"/>
    <w:rsid w:val="001E0C6E"/>
    <w:rsid w:val="001E1262"/>
    <w:rsid w:val="001E1647"/>
    <w:rsid w:val="001E263D"/>
    <w:rsid w:val="001E264A"/>
    <w:rsid w:val="001E7103"/>
    <w:rsid w:val="001E7426"/>
    <w:rsid w:val="001F04FD"/>
    <w:rsid w:val="001F07B3"/>
    <w:rsid w:val="001F0C9E"/>
    <w:rsid w:val="001F150E"/>
    <w:rsid w:val="001F21BF"/>
    <w:rsid w:val="001F2CB4"/>
    <w:rsid w:val="001F2E22"/>
    <w:rsid w:val="001F66D8"/>
    <w:rsid w:val="001F7F4E"/>
    <w:rsid w:val="00200BF4"/>
    <w:rsid w:val="00201414"/>
    <w:rsid w:val="00201420"/>
    <w:rsid w:val="0020251B"/>
    <w:rsid w:val="002026E3"/>
    <w:rsid w:val="00202E4A"/>
    <w:rsid w:val="00202FF8"/>
    <w:rsid w:val="00204A43"/>
    <w:rsid w:val="00206B23"/>
    <w:rsid w:val="00206F6E"/>
    <w:rsid w:val="002076B5"/>
    <w:rsid w:val="002106CE"/>
    <w:rsid w:val="002115A0"/>
    <w:rsid w:val="002118D6"/>
    <w:rsid w:val="00211B02"/>
    <w:rsid w:val="00211EDF"/>
    <w:rsid w:val="00212692"/>
    <w:rsid w:val="002139B1"/>
    <w:rsid w:val="00214385"/>
    <w:rsid w:val="00215094"/>
    <w:rsid w:val="002173E6"/>
    <w:rsid w:val="00217FC6"/>
    <w:rsid w:val="00220A4C"/>
    <w:rsid w:val="00221DFE"/>
    <w:rsid w:val="00222E0E"/>
    <w:rsid w:val="002241CC"/>
    <w:rsid w:val="002243DF"/>
    <w:rsid w:val="00225177"/>
    <w:rsid w:val="002252AB"/>
    <w:rsid w:val="00225837"/>
    <w:rsid w:val="002264CF"/>
    <w:rsid w:val="00226FF3"/>
    <w:rsid w:val="00227647"/>
    <w:rsid w:val="00230156"/>
    <w:rsid w:val="00230522"/>
    <w:rsid w:val="00232A04"/>
    <w:rsid w:val="00232BDE"/>
    <w:rsid w:val="002331FE"/>
    <w:rsid w:val="002334B4"/>
    <w:rsid w:val="0023422E"/>
    <w:rsid w:val="00234969"/>
    <w:rsid w:val="002358A6"/>
    <w:rsid w:val="0023591D"/>
    <w:rsid w:val="00236867"/>
    <w:rsid w:val="00236F6B"/>
    <w:rsid w:val="00240586"/>
    <w:rsid w:val="00241C79"/>
    <w:rsid w:val="00241F51"/>
    <w:rsid w:val="00242727"/>
    <w:rsid w:val="00243954"/>
    <w:rsid w:val="00244360"/>
    <w:rsid w:val="00245C53"/>
    <w:rsid w:val="00246696"/>
    <w:rsid w:val="002468DF"/>
    <w:rsid w:val="002473A6"/>
    <w:rsid w:val="00251DB1"/>
    <w:rsid w:val="00253B06"/>
    <w:rsid w:val="00254711"/>
    <w:rsid w:val="00256457"/>
    <w:rsid w:val="00256533"/>
    <w:rsid w:val="00256D13"/>
    <w:rsid w:val="002617F6"/>
    <w:rsid w:val="00261AEA"/>
    <w:rsid w:val="00262025"/>
    <w:rsid w:val="002625CE"/>
    <w:rsid w:val="0026340A"/>
    <w:rsid w:val="002634BF"/>
    <w:rsid w:val="002637E6"/>
    <w:rsid w:val="00265231"/>
    <w:rsid w:val="00265301"/>
    <w:rsid w:val="00265F92"/>
    <w:rsid w:val="002673B8"/>
    <w:rsid w:val="00273051"/>
    <w:rsid w:val="0027371A"/>
    <w:rsid w:val="002739EC"/>
    <w:rsid w:val="00274104"/>
    <w:rsid w:val="00274AED"/>
    <w:rsid w:val="00274FA0"/>
    <w:rsid w:val="002758EC"/>
    <w:rsid w:val="00281299"/>
    <w:rsid w:val="00281B44"/>
    <w:rsid w:val="002832F0"/>
    <w:rsid w:val="002833C4"/>
    <w:rsid w:val="00283838"/>
    <w:rsid w:val="00283A7C"/>
    <w:rsid w:val="002849F1"/>
    <w:rsid w:val="00284DD1"/>
    <w:rsid w:val="002857B6"/>
    <w:rsid w:val="00286988"/>
    <w:rsid w:val="00286DA4"/>
    <w:rsid w:val="00286DE0"/>
    <w:rsid w:val="00286FC2"/>
    <w:rsid w:val="00291746"/>
    <w:rsid w:val="00291D59"/>
    <w:rsid w:val="002921BB"/>
    <w:rsid w:val="00292D76"/>
    <w:rsid w:val="002939C2"/>
    <w:rsid w:val="00294770"/>
    <w:rsid w:val="00295468"/>
    <w:rsid w:val="00295BD8"/>
    <w:rsid w:val="00295CA4"/>
    <w:rsid w:val="00295F9D"/>
    <w:rsid w:val="00296380"/>
    <w:rsid w:val="00296F95"/>
    <w:rsid w:val="002A04E6"/>
    <w:rsid w:val="002A076E"/>
    <w:rsid w:val="002A16E7"/>
    <w:rsid w:val="002A4246"/>
    <w:rsid w:val="002A4876"/>
    <w:rsid w:val="002A7D76"/>
    <w:rsid w:val="002B01DE"/>
    <w:rsid w:val="002B2B24"/>
    <w:rsid w:val="002B2D2B"/>
    <w:rsid w:val="002B4CA6"/>
    <w:rsid w:val="002B4D52"/>
    <w:rsid w:val="002B67C9"/>
    <w:rsid w:val="002B73AF"/>
    <w:rsid w:val="002B79B8"/>
    <w:rsid w:val="002C0E41"/>
    <w:rsid w:val="002C3ED3"/>
    <w:rsid w:val="002C545B"/>
    <w:rsid w:val="002C5D99"/>
    <w:rsid w:val="002C7238"/>
    <w:rsid w:val="002C7436"/>
    <w:rsid w:val="002D1865"/>
    <w:rsid w:val="002D1E8C"/>
    <w:rsid w:val="002D25BC"/>
    <w:rsid w:val="002D330D"/>
    <w:rsid w:val="002D3619"/>
    <w:rsid w:val="002D3DDF"/>
    <w:rsid w:val="002D5B95"/>
    <w:rsid w:val="002D5BF0"/>
    <w:rsid w:val="002D67D6"/>
    <w:rsid w:val="002D6E41"/>
    <w:rsid w:val="002D7CF4"/>
    <w:rsid w:val="002D7E42"/>
    <w:rsid w:val="002E04D8"/>
    <w:rsid w:val="002E0F9C"/>
    <w:rsid w:val="002E11A5"/>
    <w:rsid w:val="002E271D"/>
    <w:rsid w:val="002E4CC2"/>
    <w:rsid w:val="002E53F0"/>
    <w:rsid w:val="002E7EE9"/>
    <w:rsid w:val="002F0D27"/>
    <w:rsid w:val="002F31FA"/>
    <w:rsid w:val="002F47E2"/>
    <w:rsid w:val="002F4C87"/>
    <w:rsid w:val="002F4D4A"/>
    <w:rsid w:val="002F532C"/>
    <w:rsid w:val="002F5A00"/>
    <w:rsid w:val="002F62FA"/>
    <w:rsid w:val="002F6CA2"/>
    <w:rsid w:val="00301123"/>
    <w:rsid w:val="003031A5"/>
    <w:rsid w:val="00304913"/>
    <w:rsid w:val="00307FD9"/>
    <w:rsid w:val="003102EA"/>
    <w:rsid w:val="003113AA"/>
    <w:rsid w:val="003119ED"/>
    <w:rsid w:val="00311BDE"/>
    <w:rsid w:val="00312589"/>
    <w:rsid w:val="003126B3"/>
    <w:rsid w:val="0031406E"/>
    <w:rsid w:val="00315F72"/>
    <w:rsid w:val="00316E03"/>
    <w:rsid w:val="00317B50"/>
    <w:rsid w:val="00317D84"/>
    <w:rsid w:val="003203BF"/>
    <w:rsid w:val="003215DB"/>
    <w:rsid w:val="00321E0D"/>
    <w:rsid w:val="00323068"/>
    <w:rsid w:val="0032362A"/>
    <w:rsid w:val="00323BBD"/>
    <w:rsid w:val="00323C37"/>
    <w:rsid w:val="003243C5"/>
    <w:rsid w:val="00324A8E"/>
    <w:rsid w:val="00324C44"/>
    <w:rsid w:val="003257B9"/>
    <w:rsid w:val="00325EC7"/>
    <w:rsid w:val="00326221"/>
    <w:rsid w:val="003266BB"/>
    <w:rsid w:val="003268C9"/>
    <w:rsid w:val="00326DE7"/>
    <w:rsid w:val="00326F71"/>
    <w:rsid w:val="00330CA9"/>
    <w:rsid w:val="00331252"/>
    <w:rsid w:val="003314C4"/>
    <w:rsid w:val="00332945"/>
    <w:rsid w:val="00333FF5"/>
    <w:rsid w:val="00334B05"/>
    <w:rsid w:val="00337962"/>
    <w:rsid w:val="003417AD"/>
    <w:rsid w:val="00341AC2"/>
    <w:rsid w:val="00341FDA"/>
    <w:rsid w:val="003422F8"/>
    <w:rsid w:val="003432CC"/>
    <w:rsid w:val="003438F6"/>
    <w:rsid w:val="00343EA1"/>
    <w:rsid w:val="00344800"/>
    <w:rsid w:val="00345892"/>
    <w:rsid w:val="00345DFF"/>
    <w:rsid w:val="003503C0"/>
    <w:rsid w:val="0035042A"/>
    <w:rsid w:val="00350C62"/>
    <w:rsid w:val="0035105E"/>
    <w:rsid w:val="00352CA4"/>
    <w:rsid w:val="003549FA"/>
    <w:rsid w:val="00355356"/>
    <w:rsid w:val="00356173"/>
    <w:rsid w:val="00356A4A"/>
    <w:rsid w:val="003571AD"/>
    <w:rsid w:val="00357287"/>
    <w:rsid w:val="003575D1"/>
    <w:rsid w:val="00360BAC"/>
    <w:rsid w:val="00363B26"/>
    <w:rsid w:val="00363ECC"/>
    <w:rsid w:val="003644A4"/>
    <w:rsid w:val="003648BE"/>
    <w:rsid w:val="003651A8"/>
    <w:rsid w:val="00367435"/>
    <w:rsid w:val="00371E32"/>
    <w:rsid w:val="00372DDB"/>
    <w:rsid w:val="00372F3F"/>
    <w:rsid w:val="00373C1A"/>
    <w:rsid w:val="00373F94"/>
    <w:rsid w:val="003746D4"/>
    <w:rsid w:val="00376248"/>
    <w:rsid w:val="003771D6"/>
    <w:rsid w:val="00377A91"/>
    <w:rsid w:val="00380364"/>
    <w:rsid w:val="003805DD"/>
    <w:rsid w:val="00380954"/>
    <w:rsid w:val="00380DF8"/>
    <w:rsid w:val="00383203"/>
    <w:rsid w:val="00383886"/>
    <w:rsid w:val="0038459F"/>
    <w:rsid w:val="00385076"/>
    <w:rsid w:val="00390CCE"/>
    <w:rsid w:val="00391B9F"/>
    <w:rsid w:val="00392B9E"/>
    <w:rsid w:val="00394F8F"/>
    <w:rsid w:val="003953A9"/>
    <w:rsid w:val="00395590"/>
    <w:rsid w:val="00396C6F"/>
    <w:rsid w:val="003A069B"/>
    <w:rsid w:val="003A2955"/>
    <w:rsid w:val="003A33E5"/>
    <w:rsid w:val="003A4242"/>
    <w:rsid w:val="003A4B79"/>
    <w:rsid w:val="003A53E9"/>
    <w:rsid w:val="003A5493"/>
    <w:rsid w:val="003A6B17"/>
    <w:rsid w:val="003A7315"/>
    <w:rsid w:val="003A765A"/>
    <w:rsid w:val="003A7D23"/>
    <w:rsid w:val="003B0C74"/>
    <w:rsid w:val="003B0ECC"/>
    <w:rsid w:val="003B115A"/>
    <w:rsid w:val="003B3853"/>
    <w:rsid w:val="003B4DFF"/>
    <w:rsid w:val="003B5032"/>
    <w:rsid w:val="003B7C6B"/>
    <w:rsid w:val="003C077E"/>
    <w:rsid w:val="003C18C7"/>
    <w:rsid w:val="003C231E"/>
    <w:rsid w:val="003C3ED5"/>
    <w:rsid w:val="003C4B46"/>
    <w:rsid w:val="003D0018"/>
    <w:rsid w:val="003D0F8B"/>
    <w:rsid w:val="003D1EB7"/>
    <w:rsid w:val="003D232F"/>
    <w:rsid w:val="003D2F66"/>
    <w:rsid w:val="003D356A"/>
    <w:rsid w:val="003D4CE4"/>
    <w:rsid w:val="003D7830"/>
    <w:rsid w:val="003D7C34"/>
    <w:rsid w:val="003D7F1F"/>
    <w:rsid w:val="003E0B0A"/>
    <w:rsid w:val="003E0EEF"/>
    <w:rsid w:val="003E2392"/>
    <w:rsid w:val="003E2789"/>
    <w:rsid w:val="003E2CDF"/>
    <w:rsid w:val="003E2F58"/>
    <w:rsid w:val="003E2FA5"/>
    <w:rsid w:val="003E3061"/>
    <w:rsid w:val="003E4006"/>
    <w:rsid w:val="003E48BB"/>
    <w:rsid w:val="003E5918"/>
    <w:rsid w:val="003E5A16"/>
    <w:rsid w:val="003E5B55"/>
    <w:rsid w:val="003E656A"/>
    <w:rsid w:val="003E6888"/>
    <w:rsid w:val="003E695E"/>
    <w:rsid w:val="003E6C77"/>
    <w:rsid w:val="003E7D90"/>
    <w:rsid w:val="003F0650"/>
    <w:rsid w:val="003F0653"/>
    <w:rsid w:val="003F14A9"/>
    <w:rsid w:val="003F2090"/>
    <w:rsid w:val="003F233B"/>
    <w:rsid w:val="003F2941"/>
    <w:rsid w:val="003F3134"/>
    <w:rsid w:val="003F352E"/>
    <w:rsid w:val="003F4820"/>
    <w:rsid w:val="003F5D51"/>
    <w:rsid w:val="003F7761"/>
    <w:rsid w:val="00400D9B"/>
    <w:rsid w:val="00401398"/>
    <w:rsid w:val="004037D7"/>
    <w:rsid w:val="00403965"/>
    <w:rsid w:val="00404543"/>
    <w:rsid w:val="00405713"/>
    <w:rsid w:val="00406025"/>
    <w:rsid w:val="00406761"/>
    <w:rsid w:val="00411121"/>
    <w:rsid w:val="00413346"/>
    <w:rsid w:val="00413883"/>
    <w:rsid w:val="00414254"/>
    <w:rsid w:val="00414353"/>
    <w:rsid w:val="00414975"/>
    <w:rsid w:val="004160ED"/>
    <w:rsid w:val="00416D35"/>
    <w:rsid w:val="00416EFA"/>
    <w:rsid w:val="0042013F"/>
    <w:rsid w:val="0042086E"/>
    <w:rsid w:val="004209C6"/>
    <w:rsid w:val="00420E20"/>
    <w:rsid w:val="004212A0"/>
    <w:rsid w:val="004214A4"/>
    <w:rsid w:val="004229C4"/>
    <w:rsid w:val="00422B98"/>
    <w:rsid w:val="0042314D"/>
    <w:rsid w:val="00423B85"/>
    <w:rsid w:val="004245F1"/>
    <w:rsid w:val="004245FA"/>
    <w:rsid w:val="00425650"/>
    <w:rsid w:val="00425B63"/>
    <w:rsid w:val="00427058"/>
    <w:rsid w:val="0042727A"/>
    <w:rsid w:val="0042745D"/>
    <w:rsid w:val="00427575"/>
    <w:rsid w:val="0043123C"/>
    <w:rsid w:val="00431E4C"/>
    <w:rsid w:val="00431E6C"/>
    <w:rsid w:val="00431F13"/>
    <w:rsid w:val="00433C6A"/>
    <w:rsid w:val="00434F25"/>
    <w:rsid w:val="0043525E"/>
    <w:rsid w:val="004352A5"/>
    <w:rsid w:val="0043667A"/>
    <w:rsid w:val="004401D4"/>
    <w:rsid w:val="00440427"/>
    <w:rsid w:val="00441184"/>
    <w:rsid w:val="00441C5A"/>
    <w:rsid w:val="00441E9E"/>
    <w:rsid w:val="004429B2"/>
    <w:rsid w:val="00444690"/>
    <w:rsid w:val="00445F88"/>
    <w:rsid w:val="00446C7D"/>
    <w:rsid w:val="00446E40"/>
    <w:rsid w:val="00447C85"/>
    <w:rsid w:val="004518CF"/>
    <w:rsid w:val="004518DB"/>
    <w:rsid w:val="00453043"/>
    <w:rsid w:val="0045331D"/>
    <w:rsid w:val="00454136"/>
    <w:rsid w:val="0045661A"/>
    <w:rsid w:val="00456FE0"/>
    <w:rsid w:val="00457325"/>
    <w:rsid w:val="00460D91"/>
    <w:rsid w:val="00462241"/>
    <w:rsid w:val="004630C2"/>
    <w:rsid w:val="0046492A"/>
    <w:rsid w:val="00466FFF"/>
    <w:rsid w:val="00467D1E"/>
    <w:rsid w:val="004701D7"/>
    <w:rsid w:val="00472D59"/>
    <w:rsid w:val="004748BE"/>
    <w:rsid w:val="00475380"/>
    <w:rsid w:val="00475E09"/>
    <w:rsid w:val="00476942"/>
    <w:rsid w:val="00476A14"/>
    <w:rsid w:val="00476DFF"/>
    <w:rsid w:val="004778D3"/>
    <w:rsid w:val="00482453"/>
    <w:rsid w:val="00482878"/>
    <w:rsid w:val="00483ADE"/>
    <w:rsid w:val="00484D47"/>
    <w:rsid w:val="00485DEF"/>
    <w:rsid w:val="004861B1"/>
    <w:rsid w:val="0048683A"/>
    <w:rsid w:val="00486993"/>
    <w:rsid w:val="00486A16"/>
    <w:rsid w:val="00490879"/>
    <w:rsid w:val="004908E2"/>
    <w:rsid w:val="00490EA1"/>
    <w:rsid w:val="00491816"/>
    <w:rsid w:val="00492761"/>
    <w:rsid w:val="00493280"/>
    <w:rsid w:val="0049387F"/>
    <w:rsid w:val="00493B7D"/>
    <w:rsid w:val="00493B94"/>
    <w:rsid w:val="0049421D"/>
    <w:rsid w:val="0049610C"/>
    <w:rsid w:val="004A155C"/>
    <w:rsid w:val="004A2925"/>
    <w:rsid w:val="004A3BFD"/>
    <w:rsid w:val="004A3F9A"/>
    <w:rsid w:val="004A6D24"/>
    <w:rsid w:val="004A6DC5"/>
    <w:rsid w:val="004A6E94"/>
    <w:rsid w:val="004A7955"/>
    <w:rsid w:val="004B0583"/>
    <w:rsid w:val="004B122E"/>
    <w:rsid w:val="004B15F6"/>
    <w:rsid w:val="004B1F42"/>
    <w:rsid w:val="004B2DB7"/>
    <w:rsid w:val="004B2E5A"/>
    <w:rsid w:val="004B3D1B"/>
    <w:rsid w:val="004B4DFE"/>
    <w:rsid w:val="004B4F08"/>
    <w:rsid w:val="004B6600"/>
    <w:rsid w:val="004B70A5"/>
    <w:rsid w:val="004B7CB4"/>
    <w:rsid w:val="004C16A5"/>
    <w:rsid w:val="004C18CF"/>
    <w:rsid w:val="004C1C62"/>
    <w:rsid w:val="004C2CDE"/>
    <w:rsid w:val="004C3117"/>
    <w:rsid w:val="004C418F"/>
    <w:rsid w:val="004C4455"/>
    <w:rsid w:val="004C5289"/>
    <w:rsid w:val="004C6EBD"/>
    <w:rsid w:val="004D03B0"/>
    <w:rsid w:val="004D0D60"/>
    <w:rsid w:val="004D21FF"/>
    <w:rsid w:val="004D3160"/>
    <w:rsid w:val="004D3C7D"/>
    <w:rsid w:val="004D3D08"/>
    <w:rsid w:val="004D45AE"/>
    <w:rsid w:val="004D4EAE"/>
    <w:rsid w:val="004D64EC"/>
    <w:rsid w:val="004D6B7F"/>
    <w:rsid w:val="004D6F97"/>
    <w:rsid w:val="004E09A7"/>
    <w:rsid w:val="004E0BF2"/>
    <w:rsid w:val="004E15B2"/>
    <w:rsid w:val="004E1FE7"/>
    <w:rsid w:val="004E2E4A"/>
    <w:rsid w:val="004E30DB"/>
    <w:rsid w:val="004E4A7A"/>
    <w:rsid w:val="004E4AF5"/>
    <w:rsid w:val="004E4B26"/>
    <w:rsid w:val="004E4C3E"/>
    <w:rsid w:val="004E606C"/>
    <w:rsid w:val="004E66BF"/>
    <w:rsid w:val="004E69D8"/>
    <w:rsid w:val="004E6D2A"/>
    <w:rsid w:val="004E6F80"/>
    <w:rsid w:val="004E79F1"/>
    <w:rsid w:val="004F0BA2"/>
    <w:rsid w:val="004F1590"/>
    <w:rsid w:val="004F40CC"/>
    <w:rsid w:val="004F6295"/>
    <w:rsid w:val="004F7BF0"/>
    <w:rsid w:val="0050001F"/>
    <w:rsid w:val="00500E58"/>
    <w:rsid w:val="00501758"/>
    <w:rsid w:val="00501800"/>
    <w:rsid w:val="00504319"/>
    <w:rsid w:val="00504495"/>
    <w:rsid w:val="005044A9"/>
    <w:rsid w:val="005061AE"/>
    <w:rsid w:val="005069A9"/>
    <w:rsid w:val="00510992"/>
    <w:rsid w:val="00514BC8"/>
    <w:rsid w:val="00514F1A"/>
    <w:rsid w:val="00515391"/>
    <w:rsid w:val="00517656"/>
    <w:rsid w:val="005202DB"/>
    <w:rsid w:val="00522742"/>
    <w:rsid w:val="00522C14"/>
    <w:rsid w:val="0052327D"/>
    <w:rsid w:val="00523B38"/>
    <w:rsid w:val="00525A55"/>
    <w:rsid w:val="00525B01"/>
    <w:rsid w:val="00525E23"/>
    <w:rsid w:val="00526560"/>
    <w:rsid w:val="00531378"/>
    <w:rsid w:val="00531FA0"/>
    <w:rsid w:val="005320C1"/>
    <w:rsid w:val="00532139"/>
    <w:rsid w:val="0053273C"/>
    <w:rsid w:val="00533DFA"/>
    <w:rsid w:val="00536160"/>
    <w:rsid w:val="00536CF2"/>
    <w:rsid w:val="005371A3"/>
    <w:rsid w:val="00537328"/>
    <w:rsid w:val="00537ADE"/>
    <w:rsid w:val="00537B2F"/>
    <w:rsid w:val="00542AC3"/>
    <w:rsid w:val="00543634"/>
    <w:rsid w:val="0054380D"/>
    <w:rsid w:val="005438B3"/>
    <w:rsid w:val="005439E1"/>
    <w:rsid w:val="0054414B"/>
    <w:rsid w:val="00544832"/>
    <w:rsid w:val="00545AA5"/>
    <w:rsid w:val="0054734E"/>
    <w:rsid w:val="0054782B"/>
    <w:rsid w:val="00547E6E"/>
    <w:rsid w:val="005505F9"/>
    <w:rsid w:val="0055116F"/>
    <w:rsid w:val="00553123"/>
    <w:rsid w:val="0055428C"/>
    <w:rsid w:val="0055657B"/>
    <w:rsid w:val="00556FFB"/>
    <w:rsid w:val="00561705"/>
    <w:rsid w:val="00562957"/>
    <w:rsid w:val="00562B19"/>
    <w:rsid w:val="00562EED"/>
    <w:rsid w:val="005635CC"/>
    <w:rsid w:val="005647C0"/>
    <w:rsid w:val="00564A31"/>
    <w:rsid w:val="00566959"/>
    <w:rsid w:val="00570DC7"/>
    <w:rsid w:val="00570E80"/>
    <w:rsid w:val="005711F9"/>
    <w:rsid w:val="00571DA2"/>
    <w:rsid w:val="00572135"/>
    <w:rsid w:val="005727B1"/>
    <w:rsid w:val="0057298E"/>
    <w:rsid w:val="00572D8C"/>
    <w:rsid w:val="005732FB"/>
    <w:rsid w:val="00573629"/>
    <w:rsid w:val="005740DD"/>
    <w:rsid w:val="005747C2"/>
    <w:rsid w:val="0057530D"/>
    <w:rsid w:val="00575B08"/>
    <w:rsid w:val="00580F40"/>
    <w:rsid w:val="00581F68"/>
    <w:rsid w:val="005838C5"/>
    <w:rsid w:val="00584370"/>
    <w:rsid w:val="00584EB9"/>
    <w:rsid w:val="005852F3"/>
    <w:rsid w:val="005863B2"/>
    <w:rsid w:val="00587CE3"/>
    <w:rsid w:val="00591CE5"/>
    <w:rsid w:val="005920D9"/>
    <w:rsid w:val="0059217F"/>
    <w:rsid w:val="005934AE"/>
    <w:rsid w:val="005939DB"/>
    <w:rsid w:val="005944F6"/>
    <w:rsid w:val="00594BBC"/>
    <w:rsid w:val="00596143"/>
    <w:rsid w:val="005968E1"/>
    <w:rsid w:val="005972B5"/>
    <w:rsid w:val="005973FC"/>
    <w:rsid w:val="00597608"/>
    <w:rsid w:val="00597DA2"/>
    <w:rsid w:val="005A01CB"/>
    <w:rsid w:val="005A09CA"/>
    <w:rsid w:val="005A0E75"/>
    <w:rsid w:val="005A1611"/>
    <w:rsid w:val="005A2405"/>
    <w:rsid w:val="005A4DC0"/>
    <w:rsid w:val="005A5428"/>
    <w:rsid w:val="005A55B3"/>
    <w:rsid w:val="005A572D"/>
    <w:rsid w:val="005A58EB"/>
    <w:rsid w:val="005A5C05"/>
    <w:rsid w:val="005A5C8D"/>
    <w:rsid w:val="005A608A"/>
    <w:rsid w:val="005A6733"/>
    <w:rsid w:val="005A6E2A"/>
    <w:rsid w:val="005A7AEC"/>
    <w:rsid w:val="005B0346"/>
    <w:rsid w:val="005B065F"/>
    <w:rsid w:val="005B23CA"/>
    <w:rsid w:val="005B2862"/>
    <w:rsid w:val="005B3256"/>
    <w:rsid w:val="005B3636"/>
    <w:rsid w:val="005B3C4F"/>
    <w:rsid w:val="005B3D30"/>
    <w:rsid w:val="005B633B"/>
    <w:rsid w:val="005B6386"/>
    <w:rsid w:val="005B6707"/>
    <w:rsid w:val="005B7449"/>
    <w:rsid w:val="005C0A02"/>
    <w:rsid w:val="005C0F65"/>
    <w:rsid w:val="005C1701"/>
    <w:rsid w:val="005C1847"/>
    <w:rsid w:val="005C2606"/>
    <w:rsid w:val="005C4E9D"/>
    <w:rsid w:val="005C6863"/>
    <w:rsid w:val="005D0483"/>
    <w:rsid w:val="005D055F"/>
    <w:rsid w:val="005D2C54"/>
    <w:rsid w:val="005D2FB5"/>
    <w:rsid w:val="005D3477"/>
    <w:rsid w:val="005D396A"/>
    <w:rsid w:val="005D41CD"/>
    <w:rsid w:val="005D48F9"/>
    <w:rsid w:val="005D4CB3"/>
    <w:rsid w:val="005D5AA3"/>
    <w:rsid w:val="005D630E"/>
    <w:rsid w:val="005D7C65"/>
    <w:rsid w:val="005E144B"/>
    <w:rsid w:val="005E187C"/>
    <w:rsid w:val="005E27FE"/>
    <w:rsid w:val="005E298B"/>
    <w:rsid w:val="005E3647"/>
    <w:rsid w:val="005E3C2F"/>
    <w:rsid w:val="005E484D"/>
    <w:rsid w:val="005E49FB"/>
    <w:rsid w:val="005E7900"/>
    <w:rsid w:val="005F03E0"/>
    <w:rsid w:val="005F101A"/>
    <w:rsid w:val="005F14AB"/>
    <w:rsid w:val="005F18B8"/>
    <w:rsid w:val="005F2128"/>
    <w:rsid w:val="005F32C9"/>
    <w:rsid w:val="005F4FE7"/>
    <w:rsid w:val="006005F6"/>
    <w:rsid w:val="00601911"/>
    <w:rsid w:val="00601BD3"/>
    <w:rsid w:val="00601EB3"/>
    <w:rsid w:val="00602357"/>
    <w:rsid w:val="0060393D"/>
    <w:rsid w:val="00603DC9"/>
    <w:rsid w:val="00603F1A"/>
    <w:rsid w:val="00604445"/>
    <w:rsid w:val="00605786"/>
    <w:rsid w:val="00605947"/>
    <w:rsid w:val="00610D9C"/>
    <w:rsid w:val="006125B9"/>
    <w:rsid w:val="00613126"/>
    <w:rsid w:val="006135F6"/>
    <w:rsid w:val="00613C6A"/>
    <w:rsid w:val="0061411C"/>
    <w:rsid w:val="0061492A"/>
    <w:rsid w:val="00615066"/>
    <w:rsid w:val="00616213"/>
    <w:rsid w:val="00616A01"/>
    <w:rsid w:val="00617125"/>
    <w:rsid w:val="006179BF"/>
    <w:rsid w:val="00617EA4"/>
    <w:rsid w:val="00620C32"/>
    <w:rsid w:val="00620FD2"/>
    <w:rsid w:val="00621641"/>
    <w:rsid w:val="0062210E"/>
    <w:rsid w:val="00623CEA"/>
    <w:rsid w:val="00624612"/>
    <w:rsid w:val="00624DBF"/>
    <w:rsid w:val="006265A7"/>
    <w:rsid w:val="006308D8"/>
    <w:rsid w:val="006314FB"/>
    <w:rsid w:val="00631B8C"/>
    <w:rsid w:val="00631BF2"/>
    <w:rsid w:val="00632FB3"/>
    <w:rsid w:val="00632FEF"/>
    <w:rsid w:val="006337AF"/>
    <w:rsid w:val="00634083"/>
    <w:rsid w:val="00634866"/>
    <w:rsid w:val="00634B09"/>
    <w:rsid w:val="00634F19"/>
    <w:rsid w:val="00635DEC"/>
    <w:rsid w:val="006365AE"/>
    <w:rsid w:val="00636C9D"/>
    <w:rsid w:val="006372B8"/>
    <w:rsid w:val="00640A29"/>
    <w:rsid w:val="00640DBD"/>
    <w:rsid w:val="006439AA"/>
    <w:rsid w:val="006451F0"/>
    <w:rsid w:val="006455AF"/>
    <w:rsid w:val="00645AC3"/>
    <w:rsid w:val="00645E53"/>
    <w:rsid w:val="00646317"/>
    <w:rsid w:val="00646831"/>
    <w:rsid w:val="00646899"/>
    <w:rsid w:val="00646BD4"/>
    <w:rsid w:val="00646C0E"/>
    <w:rsid w:val="00647179"/>
    <w:rsid w:val="006474C4"/>
    <w:rsid w:val="00647FA2"/>
    <w:rsid w:val="0065256F"/>
    <w:rsid w:val="00653CC7"/>
    <w:rsid w:val="00654841"/>
    <w:rsid w:val="00654A51"/>
    <w:rsid w:val="00654AD8"/>
    <w:rsid w:val="00654B70"/>
    <w:rsid w:val="006563D2"/>
    <w:rsid w:val="0066008E"/>
    <w:rsid w:val="006602A2"/>
    <w:rsid w:val="006627C9"/>
    <w:rsid w:val="0066375D"/>
    <w:rsid w:val="006651D1"/>
    <w:rsid w:val="00665425"/>
    <w:rsid w:val="006659E2"/>
    <w:rsid w:val="00665FAC"/>
    <w:rsid w:val="00670032"/>
    <w:rsid w:val="00670067"/>
    <w:rsid w:val="00671C73"/>
    <w:rsid w:val="00672A11"/>
    <w:rsid w:val="006730AD"/>
    <w:rsid w:val="00673895"/>
    <w:rsid w:val="00674050"/>
    <w:rsid w:val="006750D5"/>
    <w:rsid w:val="006766FE"/>
    <w:rsid w:val="0068086F"/>
    <w:rsid w:val="00681126"/>
    <w:rsid w:val="006816A3"/>
    <w:rsid w:val="00682385"/>
    <w:rsid w:val="006828F4"/>
    <w:rsid w:val="006837CA"/>
    <w:rsid w:val="006871B6"/>
    <w:rsid w:val="0069154F"/>
    <w:rsid w:val="00692EED"/>
    <w:rsid w:val="006959FC"/>
    <w:rsid w:val="0069623F"/>
    <w:rsid w:val="00696478"/>
    <w:rsid w:val="00697DD5"/>
    <w:rsid w:val="006A0112"/>
    <w:rsid w:val="006A0BED"/>
    <w:rsid w:val="006A0BF7"/>
    <w:rsid w:val="006A104E"/>
    <w:rsid w:val="006A1306"/>
    <w:rsid w:val="006A286B"/>
    <w:rsid w:val="006A3A6A"/>
    <w:rsid w:val="006A3FD2"/>
    <w:rsid w:val="006A4022"/>
    <w:rsid w:val="006A506A"/>
    <w:rsid w:val="006A711B"/>
    <w:rsid w:val="006A768A"/>
    <w:rsid w:val="006A7ED3"/>
    <w:rsid w:val="006B0A73"/>
    <w:rsid w:val="006B11DE"/>
    <w:rsid w:val="006B1259"/>
    <w:rsid w:val="006B2ADC"/>
    <w:rsid w:val="006B3674"/>
    <w:rsid w:val="006B4DC7"/>
    <w:rsid w:val="006B535C"/>
    <w:rsid w:val="006B71AF"/>
    <w:rsid w:val="006B7C8F"/>
    <w:rsid w:val="006C287A"/>
    <w:rsid w:val="006C412A"/>
    <w:rsid w:val="006C41F4"/>
    <w:rsid w:val="006C636D"/>
    <w:rsid w:val="006C6629"/>
    <w:rsid w:val="006C7D05"/>
    <w:rsid w:val="006D03C7"/>
    <w:rsid w:val="006D0493"/>
    <w:rsid w:val="006D1042"/>
    <w:rsid w:val="006D1C05"/>
    <w:rsid w:val="006D28D5"/>
    <w:rsid w:val="006D4500"/>
    <w:rsid w:val="006D539E"/>
    <w:rsid w:val="006D6B79"/>
    <w:rsid w:val="006E0A47"/>
    <w:rsid w:val="006E1A4F"/>
    <w:rsid w:val="006E4423"/>
    <w:rsid w:val="006E56BB"/>
    <w:rsid w:val="006E6F3E"/>
    <w:rsid w:val="006E7263"/>
    <w:rsid w:val="006E7688"/>
    <w:rsid w:val="006E7ABE"/>
    <w:rsid w:val="006F0772"/>
    <w:rsid w:val="006F42E0"/>
    <w:rsid w:val="006F4B28"/>
    <w:rsid w:val="006F599C"/>
    <w:rsid w:val="00700D16"/>
    <w:rsid w:val="00700DAB"/>
    <w:rsid w:val="0070176B"/>
    <w:rsid w:val="00701C02"/>
    <w:rsid w:val="00701CFC"/>
    <w:rsid w:val="00702453"/>
    <w:rsid w:val="007025E6"/>
    <w:rsid w:val="007026A8"/>
    <w:rsid w:val="00702C5E"/>
    <w:rsid w:val="00702DA2"/>
    <w:rsid w:val="00703497"/>
    <w:rsid w:val="00703705"/>
    <w:rsid w:val="007041DC"/>
    <w:rsid w:val="007050A5"/>
    <w:rsid w:val="007051BF"/>
    <w:rsid w:val="007056CC"/>
    <w:rsid w:val="0070679C"/>
    <w:rsid w:val="00707451"/>
    <w:rsid w:val="0071099C"/>
    <w:rsid w:val="00710E5E"/>
    <w:rsid w:val="0071184B"/>
    <w:rsid w:val="0071190B"/>
    <w:rsid w:val="007128D5"/>
    <w:rsid w:val="007165D8"/>
    <w:rsid w:val="007206D9"/>
    <w:rsid w:val="007216A5"/>
    <w:rsid w:val="00721D66"/>
    <w:rsid w:val="0072452F"/>
    <w:rsid w:val="007251EE"/>
    <w:rsid w:val="0072669B"/>
    <w:rsid w:val="0072769E"/>
    <w:rsid w:val="00730A4B"/>
    <w:rsid w:val="00730E76"/>
    <w:rsid w:val="007328EA"/>
    <w:rsid w:val="007329A3"/>
    <w:rsid w:val="0073636D"/>
    <w:rsid w:val="0074086D"/>
    <w:rsid w:val="007427AD"/>
    <w:rsid w:val="007432B3"/>
    <w:rsid w:val="00743D62"/>
    <w:rsid w:val="00746329"/>
    <w:rsid w:val="007465AA"/>
    <w:rsid w:val="00750595"/>
    <w:rsid w:val="007507BB"/>
    <w:rsid w:val="00750A48"/>
    <w:rsid w:val="007526D8"/>
    <w:rsid w:val="00752FA3"/>
    <w:rsid w:val="00753A3C"/>
    <w:rsid w:val="00756E55"/>
    <w:rsid w:val="007572C6"/>
    <w:rsid w:val="00757A0E"/>
    <w:rsid w:val="00757C98"/>
    <w:rsid w:val="00761A3C"/>
    <w:rsid w:val="00761A9E"/>
    <w:rsid w:val="007624B9"/>
    <w:rsid w:val="00762583"/>
    <w:rsid w:val="007632B6"/>
    <w:rsid w:val="00764071"/>
    <w:rsid w:val="00764317"/>
    <w:rsid w:val="00767BFE"/>
    <w:rsid w:val="00767D81"/>
    <w:rsid w:val="007716BD"/>
    <w:rsid w:val="007726FF"/>
    <w:rsid w:val="0077291F"/>
    <w:rsid w:val="0077372B"/>
    <w:rsid w:val="00773F87"/>
    <w:rsid w:val="00774183"/>
    <w:rsid w:val="00775759"/>
    <w:rsid w:val="00781055"/>
    <w:rsid w:val="007824C0"/>
    <w:rsid w:val="00782692"/>
    <w:rsid w:val="007832FE"/>
    <w:rsid w:val="00783BA1"/>
    <w:rsid w:val="00783CEF"/>
    <w:rsid w:val="00783D49"/>
    <w:rsid w:val="00784A23"/>
    <w:rsid w:val="007856C4"/>
    <w:rsid w:val="00786354"/>
    <w:rsid w:val="007874A9"/>
    <w:rsid w:val="0079131D"/>
    <w:rsid w:val="0079187A"/>
    <w:rsid w:val="007928A9"/>
    <w:rsid w:val="00792D18"/>
    <w:rsid w:val="00794525"/>
    <w:rsid w:val="00794AB7"/>
    <w:rsid w:val="00795C6E"/>
    <w:rsid w:val="00795E51"/>
    <w:rsid w:val="00796FEF"/>
    <w:rsid w:val="00797103"/>
    <w:rsid w:val="007A211B"/>
    <w:rsid w:val="007A34B7"/>
    <w:rsid w:val="007A4B35"/>
    <w:rsid w:val="007A5E2B"/>
    <w:rsid w:val="007A6D3C"/>
    <w:rsid w:val="007A7C1C"/>
    <w:rsid w:val="007A7DAC"/>
    <w:rsid w:val="007B0BE3"/>
    <w:rsid w:val="007B11D9"/>
    <w:rsid w:val="007B14CD"/>
    <w:rsid w:val="007B287F"/>
    <w:rsid w:val="007B29E7"/>
    <w:rsid w:val="007B3E71"/>
    <w:rsid w:val="007B44AE"/>
    <w:rsid w:val="007B5EC3"/>
    <w:rsid w:val="007B63B9"/>
    <w:rsid w:val="007B68BC"/>
    <w:rsid w:val="007C0AFE"/>
    <w:rsid w:val="007C10B6"/>
    <w:rsid w:val="007C36C7"/>
    <w:rsid w:val="007C3AE3"/>
    <w:rsid w:val="007C4512"/>
    <w:rsid w:val="007C5743"/>
    <w:rsid w:val="007C58D9"/>
    <w:rsid w:val="007C5A8D"/>
    <w:rsid w:val="007C5BDE"/>
    <w:rsid w:val="007C6C68"/>
    <w:rsid w:val="007D183A"/>
    <w:rsid w:val="007D2281"/>
    <w:rsid w:val="007D3967"/>
    <w:rsid w:val="007D41EF"/>
    <w:rsid w:val="007D49B2"/>
    <w:rsid w:val="007D6637"/>
    <w:rsid w:val="007E0DDE"/>
    <w:rsid w:val="007E265D"/>
    <w:rsid w:val="007E30DA"/>
    <w:rsid w:val="007E56BD"/>
    <w:rsid w:val="007E59B6"/>
    <w:rsid w:val="007E5F05"/>
    <w:rsid w:val="007E6F08"/>
    <w:rsid w:val="007E7134"/>
    <w:rsid w:val="007E7583"/>
    <w:rsid w:val="007E7F1B"/>
    <w:rsid w:val="007F1BA8"/>
    <w:rsid w:val="007F1F8F"/>
    <w:rsid w:val="007F254A"/>
    <w:rsid w:val="007F30C3"/>
    <w:rsid w:val="007F497C"/>
    <w:rsid w:val="007F5DD6"/>
    <w:rsid w:val="0080108F"/>
    <w:rsid w:val="0080166C"/>
    <w:rsid w:val="00801E4D"/>
    <w:rsid w:val="00802DA5"/>
    <w:rsid w:val="00803EFB"/>
    <w:rsid w:val="00804A37"/>
    <w:rsid w:val="00804C8F"/>
    <w:rsid w:val="00806082"/>
    <w:rsid w:val="00806C80"/>
    <w:rsid w:val="00810499"/>
    <w:rsid w:val="00811179"/>
    <w:rsid w:val="00812F2D"/>
    <w:rsid w:val="008138F1"/>
    <w:rsid w:val="00814CA9"/>
    <w:rsid w:val="0081506A"/>
    <w:rsid w:val="008150A5"/>
    <w:rsid w:val="00815E3E"/>
    <w:rsid w:val="00815F6D"/>
    <w:rsid w:val="00816354"/>
    <w:rsid w:val="0081655A"/>
    <w:rsid w:val="00816A59"/>
    <w:rsid w:val="00822056"/>
    <w:rsid w:val="00822C41"/>
    <w:rsid w:val="008242D3"/>
    <w:rsid w:val="008266A2"/>
    <w:rsid w:val="00826B54"/>
    <w:rsid w:val="00830256"/>
    <w:rsid w:val="00830BBC"/>
    <w:rsid w:val="00832D1A"/>
    <w:rsid w:val="00833269"/>
    <w:rsid w:val="008338BC"/>
    <w:rsid w:val="008344C5"/>
    <w:rsid w:val="00834D5A"/>
    <w:rsid w:val="0083572E"/>
    <w:rsid w:val="00836C69"/>
    <w:rsid w:val="00837137"/>
    <w:rsid w:val="008377DA"/>
    <w:rsid w:val="008378B3"/>
    <w:rsid w:val="00837E8D"/>
    <w:rsid w:val="008411E9"/>
    <w:rsid w:val="0084122D"/>
    <w:rsid w:val="00842335"/>
    <w:rsid w:val="00842EB1"/>
    <w:rsid w:val="00844B67"/>
    <w:rsid w:val="008456CF"/>
    <w:rsid w:val="00846C27"/>
    <w:rsid w:val="00850F79"/>
    <w:rsid w:val="00852D84"/>
    <w:rsid w:val="008535C3"/>
    <w:rsid w:val="008549E9"/>
    <w:rsid w:val="00855529"/>
    <w:rsid w:val="00856136"/>
    <w:rsid w:val="008562D1"/>
    <w:rsid w:val="008571EB"/>
    <w:rsid w:val="0085724C"/>
    <w:rsid w:val="00857805"/>
    <w:rsid w:val="00860C96"/>
    <w:rsid w:val="00860DC7"/>
    <w:rsid w:val="00862B6C"/>
    <w:rsid w:val="00863911"/>
    <w:rsid w:val="00864AF3"/>
    <w:rsid w:val="00864DFC"/>
    <w:rsid w:val="008659EF"/>
    <w:rsid w:val="00865C95"/>
    <w:rsid w:val="00865F75"/>
    <w:rsid w:val="00866481"/>
    <w:rsid w:val="00866F1E"/>
    <w:rsid w:val="00870620"/>
    <w:rsid w:val="0087284C"/>
    <w:rsid w:val="008730A4"/>
    <w:rsid w:val="00873187"/>
    <w:rsid w:val="008741AC"/>
    <w:rsid w:val="0087512B"/>
    <w:rsid w:val="00875395"/>
    <w:rsid w:val="008757DB"/>
    <w:rsid w:val="008759EF"/>
    <w:rsid w:val="00875F99"/>
    <w:rsid w:val="00876313"/>
    <w:rsid w:val="008768EF"/>
    <w:rsid w:val="00877A71"/>
    <w:rsid w:val="00877C26"/>
    <w:rsid w:val="0088030E"/>
    <w:rsid w:val="0088149B"/>
    <w:rsid w:val="0088149C"/>
    <w:rsid w:val="008824F3"/>
    <w:rsid w:val="00882898"/>
    <w:rsid w:val="00883470"/>
    <w:rsid w:val="008846DB"/>
    <w:rsid w:val="0088560E"/>
    <w:rsid w:val="008910DD"/>
    <w:rsid w:val="00892548"/>
    <w:rsid w:val="008938FB"/>
    <w:rsid w:val="00895CEB"/>
    <w:rsid w:val="008961C9"/>
    <w:rsid w:val="00896384"/>
    <w:rsid w:val="00896E3C"/>
    <w:rsid w:val="00896FDA"/>
    <w:rsid w:val="008A04C3"/>
    <w:rsid w:val="008A0683"/>
    <w:rsid w:val="008A07D1"/>
    <w:rsid w:val="008A0DB3"/>
    <w:rsid w:val="008A1ED9"/>
    <w:rsid w:val="008A25C0"/>
    <w:rsid w:val="008A38CD"/>
    <w:rsid w:val="008A51FC"/>
    <w:rsid w:val="008A5396"/>
    <w:rsid w:val="008A6759"/>
    <w:rsid w:val="008B3644"/>
    <w:rsid w:val="008B3920"/>
    <w:rsid w:val="008B4C82"/>
    <w:rsid w:val="008B4FEA"/>
    <w:rsid w:val="008B5299"/>
    <w:rsid w:val="008B5857"/>
    <w:rsid w:val="008B5B4A"/>
    <w:rsid w:val="008B6014"/>
    <w:rsid w:val="008B6D47"/>
    <w:rsid w:val="008C0044"/>
    <w:rsid w:val="008C0070"/>
    <w:rsid w:val="008C02BE"/>
    <w:rsid w:val="008C12DB"/>
    <w:rsid w:val="008C166E"/>
    <w:rsid w:val="008C23ED"/>
    <w:rsid w:val="008C2D8A"/>
    <w:rsid w:val="008C7C17"/>
    <w:rsid w:val="008C7D1B"/>
    <w:rsid w:val="008D0318"/>
    <w:rsid w:val="008D1C12"/>
    <w:rsid w:val="008D1C3D"/>
    <w:rsid w:val="008D2372"/>
    <w:rsid w:val="008D27A5"/>
    <w:rsid w:val="008D32B1"/>
    <w:rsid w:val="008D3A7C"/>
    <w:rsid w:val="008E119E"/>
    <w:rsid w:val="008E1D5A"/>
    <w:rsid w:val="008E2B36"/>
    <w:rsid w:val="008E2C25"/>
    <w:rsid w:val="008E332A"/>
    <w:rsid w:val="008E41FF"/>
    <w:rsid w:val="008E4510"/>
    <w:rsid w:val="008E531C"/>
    <w:rsid w:val="008E6568"/>
    <w:rsid w:val="008E6B80"/>
    <w:rsid w:val="008E7B28"/>
    <w:rsid w:val="008F1EF6"/>
    <w:rsid w:val="008F1F45"/>
    <w:rsid w:val="008F3855"/>
    <w:rsid w:val="008F39B9"/>
    <w:rsid w:val="008F4A3D"/>
    <w:rsid w:val="008F4C69"/>
    <w:rsid w:val="008F63EF"/>
    <w:rsid w:val="008F6C45"/>
    <w:rsid w:val="00900122"/>
    <w:rsid w:val="00900669"/>
    <w:rsid w:val="00900C03"/>
    <w:rsid w:val="009012B6"/>
    <w:rsid w:val="009012C2"/>
    <w:rsid w:val="00901A6D"/>
    <w:rsid w:val="00903F00"/>
    <w:rsid w:val="00904F49"/>
    <w:rsid w:val="009051BB"/>
    <w:rsid w:val="00905A08"/>
    <w:rsid w:val="00905E45"/>
    <w:rsid w:val="0090630C"/>
    <w:rsid w:val="009069D3"/>
    <w:rsid w:val="00906C2D"/>
    <w:rsid w:val="009114D0"/>
    <w:rsid w:val="00914900"/>
    <w:rsid w:val="00914B1F"/>
    <w:rsid w:val="0091537A"/>
    <w:rsid w:val="0091567F"/>
    <w:rsid w:val="00916433"/>
    <w:rsid w:val="0091685E"/>
    <w:rsid w:val="00916EA1"/>
    <w:rsid w:val="00917F7A"/>
    <w:rsid w:val="00920143"/>
    <w:rsid w:val="00922324"/>
    <w:rsid w:val="0092268B"/>
    <w:rsid w:val="00922D85"/>
    <w:rsid w:val="00923412"/>
    <w:rsid w:val="00923D18"/>
    <w:rsid w:val="009256A7"/>
    <w:rsid w:val="0092610D"/>
    <w:rsid w:val="00926E2C"/>
    <w:rsid w:val="00930F48"/>
    <w:rsid w:val="009317A7"/>
    <w:rsid w:val="00932882"/>
    <w:rsid w:val="00932C32"/>
    <w:rsid w:val="00933B11"/>
    <w:rsid w:val="009343A4"/>
    <w:rsid w:val="00934754"/>
    <w:rsid w:val="00934FF7"/>
    <w:rsid w:val="0093611B"/>
    <w:rsid w:val="00936225"/>
    <w:rsid w:val="00936AE8"/>
    <w:rsid w:val="00936EC0"/>
    <w:rsid w:val="0093722B"/>
    <w:rsid w:val="00937C4D"/>
    <w:rsid w:val="00940556"/>
    <w:rsid w:val="00942642"/>
    <w:rsid w:val="0094298C"/>
    <w:rsid w:val="00943E58"/>
    <w:rsid w:val="0094452F"/>
    <w:rsid w:val="00944FB5"/>
    <w:rsid w:val="00945391"/>
    <w:rsid w:val="00945AF3"/>
    <w:rsid w:val="0095017A"/>
    <w:rsid w:val="009501C4"/>
    <w:rsid w:val="0095061B"/>
    <w:rsid w:val="00950AAC"/>
    <w:rsid w:val="009513B3"/>
    <w:rsid w:val="00953AD9"/>
    <w:rsid w:val="00953E27"/>
    <w:rsid w:val="0095417C"/>
    <w:rsid w:val="00954601"/>
    <w:rsid w:val="00954C86"/>
    <w:rsid w:val="00956BA3"/>
    <w:rsid w:val="00956CB2"/>
    <w:rsid w:val="009577F5"/>
    <w:rsid w:val="0096070D"/>
    <w:rsid w:val="00960ED6"/>
    <w:rsid w:val="0096228D"/>
    <w:rsid w:val="009627D9"/>
    <w:rsid w:val="0096369D"/>
    <w:rsid w:val="009638CE"/>
    <w:rsid w:val="00963A2E"/>
    <w:rsid w:val="009644F0"/>
    <w:rsid w:val="00964602"/>
    <w:rsid w:val="00964B12"/>
    <w:rsid w:val="00965371"/>
    <w:rsid w:val="009658F3"/>
    <w:rsid w:val="009677CA"/>
    <w:rsid w:val="00970BA3"/>
    <w:rsid w:val="00971312"/>
    <w:rsid w:val="00971B4A"/>
    <w:rsid w:val="0097225E"/>
    <w:rsid w:val="00972365"/>
    <w:rsid w:val="009725E8"/>
    <w:rsid w:val="00972908"/>
    <w:rsid w:val="00973293"/>
    <w:rsid w:val="00973677"/>
    <w:rsid w:val="00975DB8"/>
    <w:rsid w:val="00975DCA"/>
    <w:rsid w:val="00975E62"/>
    <w:rsid w:val="00976F61"/>
    <w:rsid w:val="00980461"/>
    <w:rsid w:val="009828AD"/>
    <w:rsid w:val="00982E5D"/>
    <w:rsid w:val="00985076"/>
    <w:rsid w:val="00985711"/>
    <w:rsid w:val="009875A7"/>
    <w:rsid w:val="009876B8"/>
    <w:rsid w:val="009877F0"/>
    <w:rsid w:val="009903AB"/>
    <w:rsid w:val="009907B0"/>
    <w:rsid w:val="0099202A"/>
    <w:rsid w:val="00992CEB"/>
    <w:rsid w:val="009932FC"/>
    <w:rsid w:val="00993EC9"/>
    <w:rsid w:val="00994821"/>
    <w:rsid w:val="00994EC5"/>
    <w:rsid w:val="0099532F"/>
    <w:rsid w:val="0099615D"/>
    <w:rsid w:val="009A0C60"/>
    <w:rsid w:val="009A2DF0"/>
    <w:rsid w:val="009A49F6"/>
    <w:rsid w:val="009A5764"/>
    <w:rsid w:val="009A700A"/>
    <w:rsid w:val="009B0F38"/>
    <w:rsid w:val="009B15A1"/>
    <w:rsid w:val="009B19E8"/>
    <w:rsid w:val="009B3321"/>
    <w:rsid w:val="009B48C6"/>
    <w:rsid w:val="009B5118"/>
    <w:rsid w:val="009B5314"/>
    <w:rsid w:val="009B62FE"/>
    <w:rsid w:val="009C059B"/>
    <w:rsid w:val="009C0730"/>
    <w:rsid w:val="009C096D"/>
    <w:rsid w:val="009C2746"/>
    <w:rsid w:val="009C2851"/>
    <w:rsid w:val="009C380B"/>
    <w:rsid w:val="009C5A9C"/>
    <w:rsid w:val="009C6918"/>
    <w:rsid w:val="009C6C5E"/>
    <w:rsid w:val="009D21E6"/>
    <w:rsid w:val="009D3260"/>
    <w:rsid w:val="009D4645"/>
    <w:rsid w:val="009D4A5E"/>
    <w:rsid w:val="009D51E3"/>
    <w:rsid w:val="009D5AFB"/>
    <w:rsid w:val="009D66C2"/>
    <w:rsid w:val="009D79D5"/>
    <w:rsid w:val="009E0D3E"/>
    <w:rsid w:val="009E3951"/>
    <w:rsid w:val="009E4D50"/>
    <w:rsid w:val="009E6E91"/>
    <w:rsid w:val="009F0995"/>
    <w:rsid w:val="009F0D12"/>
    <w:rsid w:val="009F392A"/>
    <w:rsid w:val="009F3F6F"/>
    <w:rsid w:val="009F57C0"/>
    <w:rsid w:val="009F5ADE"/>
    <w:rsid w:val="009F5E1E"/>
    <w:rsid w:val="009F68B0"/>
    <w:rsid w:val="009F6CAB"/>
    <w:rsid w:val="009F74BC"/>
    <w:rsid w:val="00A0057E"/>
    <w:rsid w:val="00A01041"/>
    <w:rsid w:val="00A015B1"/>
    <w:rsid w:val="00A01D6F"/>
    <w:rsid w:val="00A02126"/>
    <w:rsid w:val="00A035CC"/>
    <w:rsid w:val="00A03E57"/>
    <w:rsid w:val="00A06194"/>
    <w:rsid w:val="00A06E57"/>
    <w:rsid w:val="00A0798F"/>
    <w:rsid w:val="00A1015A"/>
    <w:rsid w:val="00A108B1"/>
    <w:rsid w:val="00A11569"/>
    <w:rsid w:val="00A11D50"/>
    <w:rsid w:val="00A11F78"/>
    <w:rsid w:val="00A123A9"/>
    <w:rsid w:val="00A12558"/>
    <w:rsid w:val="00A12684"/>
    <w:rsid w:val="00A13710"/>
    <w:rsid w:val="00A14B59"/>
    <w:rsid w:val="00A16190"/>
    <w:rsid w:val="00A163B9"/>
    <w:rsid w:val="00A17106"/>
    <w:rsid w:val="00A17373"/>
    <w:rsid w:val="00A175F8"/>
    <w:rsid w:val="00A176E3"/>
    <w:rsid w:val="00A22349"/>
    <w:rsid w:val="00A23789"/>
    <w:rsid w:val="00A240EA"/>
    <w:rsid w:val="00A24100"/>
    <w:rsid w:val="00A24F03"/>
    <w:rsid w:val="00A24FFA"/>
    <w:rsid w:val="00A2791E"/>
    <w:rsid w:val="00A27935"/>
    <w:rsid w:val="00A27DF0"/>
    <w:rsid w:val="00A311F2"/>
    <w:rsid w:val="00A3125F"/>
    <w:rsid w:val="00A318E4"/>
    <w:rsid w:val="00A31902"/>
    <w:rsid w:val="00A31F1C"/>
    <w:rsid w:val="00A31FB7"/>
    <w:rsid w:val="00A321E5"/>
    <w:rsid w:val="00A33E27"/>
    <w:rsid w:val="00A33F4D"/>
    <w:rsid w:val="00A361FE"/>
    <w:rsid w:val="00A36ACC"/>
    <w:rsid w:val="00A36E95"/>
    <w:rsid w:val="00A37223"/>
    <w:rsid w:val="00A40C89"/>
    <w:rsid w:val="00A40D65"/>
    <w:rsid w:val="00A416D3"/>
    <w:rsid w:val="00A41A1B"/>
    <w:rsid w:val="00A41BA5"/>
    <w:rsid w:val="00A41BF6"/>
    <w:rsid w:val="00A431A8"/>
    <w:rsid w:val="00A43316"/>
    <w:rsid w:val="00A4589D"/>
    <w:rsid w:val="00A45BF1"/>
    <w:rsid w:val="00A45C40"/>
    <w:rsid w:val="00A4604E"/>
    <w:rsid w:val="00A46B63"/>
    <w:rsid w:val="00A50286"/>
    <w:rsid w:val="00A512E0"/>
    <w:rsid w:val="00A523CB"/>
    <w:rsid w:val="00A529CE"/>
    <w:rsid w:val="00A53192"/>
    <w:rsid w:val="00A533F9"/>
    <w:rsid w:val="00A53649"/>
    <w:rsid w:val="00A53D19"/>
    <w:rsid w:val="00A54CD2"/>
    <w:rsid w:val="00A54ECF"/>
    <w:rsid w:val="00A610CF"/>
    <w:rsid w:val="00A61595"/>
    <w:rsid w:val="00A61EE2"/>
    <w:rsid w:val="00A63262"/>
    <w:rsid w:val="00A638EE"/>
    <w:rsid w:val="00A6390E"/>
    <w:rsid w:val="00A6451A"/>
    <w:rsid w:val="00A6481E"/>
    <w:rsid w:val="00A65332"/>
    <w:rsid w:val="00A66730"/>
    <w:rsid w:val="00A67883"/>
    <w:rsid w:val="00A70C69"/>
    <w:rsid w:val="00A71109"/>
    <w:rsid w:val="00A7309F"/>
    <w:rsid w:val="00A7348B"/>
    <w:rsid w:val="00A771ED"/>
    <w:rsid w:val="00A77391"/>
    <w:rsid w:val="00A80083"/>
    <w:rsid w:val="00A81B56"/>
    <w:rsid w:val="00A831C9"/>
    <w:rsid w:val="00A83903"/>
    <w:rsid w:val="00A8513F"/>
    <w:rsid w:val="00A853D9"/>
    <w:rsid w:val="00A8566D"/>
    <w:rsid w:val="00A85A0E"/>
    <w:rsid w:val="00A87BB0"/>
    <w:rsid w:val="00A90044"/>
    <w:rsid w:val="00A906A6"/>
    <w:rsid w:val="00A925D7"/>
    <w:rsid w:val="00A936E9"/>
    <w:rsid w:val="00A93982"/>
    <w:rsid w:val="00A94B39"/>
    <w:rsid w:val="00AA1055"/>
    <w:rsid w:val="00AA1698"/>
    <w:rsid w:val="00AA3DEE"/>
    <w:rsid w:val="00AA3EAF"/>
    <w:rsid w:val="00AA43F7"/>
    <w:rsid w:val="00AA46AF"/>
    <w:rsid w:val="00AA4EE6"/>
    <w:rsid w:val="00AA506D"/>
    <w:rsid w:val="00AA5072"/>
    <w:rsid w:val="00AA5122"/>
    <w:rsid w:val="00AA52BD"/>
    <w:rsid w:val="00AA534F"/>
    <w:rsid w:val="00AA6271"/>
    <w:rsid w:val="00AA62E5"/>
    <w:rsid w:val="00AA68F6"/>
    <w:rsid w:val="00AA6D79"/>
    <w:rsid w:val="00AA781E"/>
    <w:rsid w:val="00AB05E2"/>
    <w:rsid w:val="00AB08F6"/>
    <w:rsid w:val="00AB123D"/>
    <w:rsid w:val="00AB2767"/>
    <w:rsid w:val="00AB332A"/>
    <w:rsid w:val="00AB428E"/>
    <w:rsid w:val="00AB5931"/>
    <w:rsid w:val="00AB60E4"/>
    <w:rsid w:val="00AB7035"/>
    <w:rsid w:val="00AB7C8B"/>
    <w:rsid w:val="00AC1568"/>
    <w:rsid w:val="00AC23C8"/>
    <w:rsid w:val="00AC2847"/>
    <w:rsid w:val="00AC2D87"/>
    <w:rsid w:val="00AC4E9A"/>
    <w:rsid w:val="00AC57CE"/>
    <w:rsid w:val="00AC6261"/>
    <w:rsid w:val="00AC68B4"/>
    <w:rsid w:val="00AC7897"/>
    <w:rsid w:val="00AC7DEF"/>
    <w:rsid w:val="00AD1F6D"/>
    <w:rsid w:val="00AD2377"/>
    <w:rsid w:val="00AD2649"/>
    <w:rsid w:val="00AD298E"/>
    <w:rsid w:val="00AD338A"/>
    <w:rsid w:val="00AD38CA"/>
    <w:rsid w:val="00AD5470"/>
    <w:rsid w:val="00AD5DE8"/>
    <w:rsid w:val="00AD5DF7"/>
    <w:rsid w:val="00AD6039"/>
    <w:rsid w:val="00AD7B07"/>
    <w:rsid w:val="00AE0425"/>
    <w:rsid w:val="00AE1634"/>
    <w:rsid w:val="00AE1D61"/>
    <w:rsid w:val="00AE3600"/>
    <w:rsid w:val="00AE3DC3"/>
    <w:rsid w:val="00AE3EF7"/>
    <w:rsid w:val="00AE3FB8"/>
    <w:rsid w:val="00AE473F"/>
    <w:rsid w:val="00AE61F6"/>
    <w:rsid w:val="00AE6272"/>
    <w:rsid w:val="00AE6D86"/>
    <w:rsid w:val="00AF1BAF"/>
    <w:rsid w:val="00AF2915"/>
    <w:rsid w:val="00AF3C32"/>
    <w:rsid w:val="00AF4F50"/>
    <w:rsid w:val="00AF61FC"/>
    <w:rsid w:val="00AF630F"/>
    <w:rsid w:val="00AF6CB8"/>
    <w:rsid w:val="00AF7C64"/>
    <w:rsid w:val="00B00F68"/>
    <w:rsid w:val="00B010DF"/>
    <w:rsid w:val="00B01232"/>
    <w:rsid w:val="00B02206"/>
    <w:rsid w:val="00B031E3"/>
    <w:rsid w:val="00B032A1"/>
    <w:rsid w:val="00B03DD8"/>
    <w:rsid w:val="00B03E8D"/>
    <w:rsid w:val="00B03EE2"/>
    <w:rsid w:val="00B04E81"/>
    <w:rsid w:val="00B05FD4"/>
    <w:rsid w:val="00B06753"/>
    <w:rsid w:val="00B06799"/>
    <w:rsid w:val="00B073CC"/>
    <w:rsid w:val="00B07828"/>
    <w:rsid w:val="00B07FCE"/>
    <w:rsid w:val="00B11423"/>
    <w:rsid w:val="00B1215A"/>
    <w:rsid w:val="00B1453B"/>
    <w:rsid w:val="00B152B5"/>
    <w:rsid w:val="00B20434"/>
    <w:rsid w:val="00B20A32"/>
    <w:rsid w:val="00B215D5"/>
    <w:rsid w:val="00B22A12"/>
    <w:rsid w:val="00B22DBC"/>
    <w:rsid w:val="00B2400E"/>
    <w:rsid w:val="00B25156"/>
    <w:rsid w:val="00B27116"/>
    <w:rsid w:val="00B271CD"/>
    <w:rsid w:val="00B27FA4"/>
    <w:rsid w:val="00B30096"/>
    <w:rsid w:val="00B3130B"/>
    <w:rsid w:val="00B313C2"/>
    <w:rsid w:val="00B318FC"/>
    <w:rsid w:val="00B32045"/>
    <w:rsid w:val="00B32584"/>
    <w:rsid w:val="00B32BD8"/>
    <w:rsid w:val="00B33559"/>
    <w:rsid w:val="00B35084"/>
    <w:rsid w:val="00B35502"/>
    <w:rsid w:val="00B359E8"/>
    <w:rsid w:val="00B366F0"/>
    <w:rsid w:val="00B36C69"/>
    <w:rsid w:val="00B37820"/>
    <w:rsid w:val="00B3795B"/>
    <w:rsid w:val="00B40F28"/>
    <w:rsid w:val="00B414EF"/>
    <w:rsid w:val="00B429B1"/>
    <w:rsid w:val="00B45977"/>
    <w:rsid w:val="00B464D8"/>
    <w:rsid w:val="00B47663"/>
    <w:rsid w:val="00B476E3"/>
    <w:rsid w:val="00B50DBF"/>
    <w:rsid w:val="00B50FCA"/>
    <w:rsid w:val="00B52738"/>
    <w:rsid w:val="00B53E89"/>
    <w:rsid w:val="00B54FD1"/>
    <w:rsid w:val="00B55D70"/>
    <w:rsid w:val="00B56273"/>
    <w:rsid w:val="00B5681B"/>
    <w:rsid w:val="00B57C8E"/>
    <w:rsid w:val="00B60036"/>
    <w:rsid w:val="00B60A9C"/>
    <w:rsid w:val="00B60CC7"/>
    <w:rsid w:val="00B654E7"/>
    <w:rsid w:val="00B65AD6"/>
    <w:rsid w:val="00B65E63"/>
    <w:rsid w:val="00B671CE"/>
    <w:rsid w:val="00B678F0"/>
    <w:rsid w:val="00B6795B"/>
    <w:rsid w:val="00B700A1"/>
    <w:rsid w:val="00B70A10"/>
    <w:rsid w:val="00B70FD4"/>
    <w:rsid w:val="00B7101D"/>
    <w:rsid w:val="00B717DF"/>
    <w:rsid w:val="00B74664"/>
    <w:rsid w:val="00B74CAA"/>
    <w:rsid w:val="00B757F8"/>
    <w:rsid w:val="00B76032"/>
    <w:rsid w:val="00B76835"/>
    <w:rsid w:val="00B77711"/>
    <w:rsid w:val="00B7780E"/>
    <w:rsid w:val="00B77DEC"/>
    <w:rsid w:val="00B77F04"/>
    <w:rsid w:val="00B80266"/>
    <w:rsid w:val="00B819CE"/>
    <w:rsid w:val="00B81D3D"/>
    <w:rsid w:val="00B82931"/>
    <w:rsid w:val="00B839A9"/>
    <w:rsid w:val="00B84D44"/>
    <w:rsid w:val="00B85B0F"/>
    <w:rsid w:val="00B85F9F"/>
    <w:rsid w:val="00B87748"/>
    <w:rsid w:val="00B87C0D"/>
    <w:rsid w:val="00B946C0"/>
    <w:rsid w:val="00B94CFE"/>
    <w:rsid w:val="00B9521E"/>
    <w:rsid w:val="00B9569D"/>
    <w:rsid w:val="00B964F2"/>
    <w:rsid w:val="00B96553"/>
    <w:rsid w:val="00B97B50"/>
    <w:rsid w:val="00BA1093"/>
    <w:rsid w:val="00BA2245"/>
    <w:rsid w:val="00BA31C2"/>
    <w:rsid w:val="00BA4227"/>
    <w:rsid w:val="00BA544F"/>
    <w:rsid w:val="00BA591A"/>
    <w:rsid w:val="00BA5FBF"/>
    <w:rsid w:val="00BA6367"/>
    <w:rsid w:val="00BA647F"/>
    <w:rsid w:val="00BA6984"/>
    <w:rsid w:val="00BA6E91"/>
    <w:rsid w:val="00BA74D9"/>
    <w:rsid w:val="00BA7BE0"/>
    <w:rsid w:val="00BA7CD5"/>
    <w:rsid w:val="00BB0591"/>
    <w:rsid w:val="00BB0C9D"/>
    <w:rsid w:val="00BB0D43"/>
    <w:rsid w:val="00BB0D9B"/>
    <w:rsid w:val="00BB1278"/>
    <w:rsid w:val="00BB1EC8"/>
    <w:rsid w:val="00BB2415"/>
    <w:rsid w:val="00BB2F94"/>
    <w:rsid w:val="00BB513E"/>
    <w:rsid w:val="00BB5D70"/>
    <w:rsid w:val="00BB664B"/>
    <w:rsid w:val="00BC1866"/>
    <w:rsid w:val="00BC2647"/>
    <w:rsid w:val="00BC39E0"/>
    <w:rsid w:val="00BC68A6"/>
    <w:rsid w:val="00BC6D59"/>
    <w:rsid w:val="00BD20D6"/>
    <w:rsid w:val="00BD2293"/>
    <w:rsid w:val="00BD5A0A"/>
    <w:rsid w:val="00BD5C89"/>
    <w:rsid w:val="00BD5F0E"/>
    <w:rsid w:val="00BD610F"/>
    <w:rsid w:val="00BD6220"/>
    <w:rsid w:val="00BD654B"/>
    <w:rsid w:val="00BD7C68"/>
    <w:rsid w:val="00BE0229"/>
    <w:rsid w:val="00BE135D"/>
    <w:rsid w:val="00BE1673"/>
    <w:rsid w:val="00BE18A7"/>
    <w:rsid w:val="00BE3843"/>
    <w:rsid w:val="00BE3EE2"/>
    <w:rsid w:val="00BE4E22"/>
    <w:rsid w:val="00BE577C"/>
    <w:rsid w:val="00BE65B5"/>
    <w:rsid w:val="00BF02DB"/>
    <w:rsid w:val="00BF0FA3"/>
    <w:rsid w:val="00BF18E2"/>
    <w:rsid w:val="00BF28FB"/>
    <w:rsid w:val="00BF2C8D"/>
    <w:rsid w:val="00BF334C"/>
    <w:rsid w:val="00C01553"/>
    <w:rsid w:val="00C01BC8"/>
    <w:rsid w:val="00C02D10"/>
    <w:rsid w:val="00C0329E"/>
    <w:rsid w:val="00C03D61"/>
    <w:rsid w:val="00C045DA"/>
    <w:rsid w:val="00C0643E"/>
    <w:rsid w:val="00C0719E"/>
    <w:rsid w:val="00C0720F"/>
    <w:rsid w:val="00C073A8"/>
    <w:rsid w:val="00C076D9"/>
    <w:rsid w:val="00C10447"/>
    <w:rsid w:val="00C104C5"/>
    <w:rsid w:val="00C11286"/>
    <w:rsid w:val="00C11764"/>
    <w:rsid w:val="00C11A96"/>
    <w:rsid w:val="00C14F88"/>
    <w:rsid w:val="00C167A4"/>
    <w:rsid w:val="00C171B9"/>
    <w:rsid w:val="00C20367"/>
    <w:rsid w:val="00C203C4"/>
    <w:rsid w:val="00C20959"/>
    <w:rsid w:val="00C20BF1"/>
    <w:rsid w:val="00C21182"/>
    <w:rsid w:val="00C211D2"/>
    <w:rsid w:val="00C22515"/>
    <w:rsid w:val="00C23C76"/>
    <w:rsid w:val="00C2446E"/>
    <w:rsid w:val="00C255C8"/>
    <w:rsid w:val="00C25970"/>
    <w:rsid w:val="00C269FC"/>
    <w:rsid w:val="00C26DCF"/>
    <w:rsid w:val="00C27705"/>
    <w:rsid w:val="00C27A1E"/>
    <w:rsid w:val="00C30BE6"/>
    <w:rsid w:val="00C31DDB"/>
    <w:rsid w:val="00C32604"/>
    <w:rsid w:val="00C328CD"/>
    <w:rsid w:val="00C32C15"/>
    <w:rsid w:val="00C32FA4"/>
    <w:rsid w:val="00C364FA"/>
    <w:rsid w:val="00C36E65"/>
    <w:rsid w:val="00C41445"/>
    <w:rsid w:val="00C417BF"/>
    <w:rsid w:val="00C418C1"/>
    <w:rsid w:val="00C41B09"/>
    <w:rsid w:val="00C42798"/>
    <w:rsid w:val="00C4348C"/>
    <w:rsid w:val="00C44311"/>
    <w:rsid w:val="00C447F8"/>
    <w:rsid w:val="00C45304"/>
    <w:rsid w:val="00C46E8E"/>
    <w:rsid w:val="00C500E7"/>
    <w:rsid w:val="00C52376"/>
    <w:rsid w:val="00C52B55"/>
    <w:rsid w:val="00C52F00"/>
    <w:rsid w:val="00C53148"/>
    <w:rsid w:val="00C53B6E"/>
    <w:rsid w:val="00C56BD0"/>
    <w:rsid w:val="00C57227"/>
    <w:rsid w:val="00C5757C"/>
    <w:rsid w:val="00C576C4"/>
    <w:rsid w:val="00C57862"/>
    <w:rsid w:val="00C60F12"/>
    <w:rsid w:val="00C617DE"/>
    <w:rsid w:val="00C61C53"/>
    <w:rsid w:val="00C62DE5"/>
    <w:rsid w:val="00C6382E"/>
    <w:rsid w:val="00C64205"/>
    <w:rsid w:val="00C647D2"/>
    <w:rsid w:val="00C66724"/>
    <w:rsid w:val="00C66FD6"/>
    <w:rsid w:val="00C700D9"/>
    <w:rsid w:val="00C709C5"/>
    <w:rsid w:val="00C7144D"/>
    <w:rsid w:val="00C71667"/>
    <w:rsid w:val="00C74586"/>
    <w:rsid w:val="00C74B34"/>
    <w:rsid w:val="00C773EE"/>
    <w:rsid w:val="00C7755C"/>
    <w:rsid w:val="00C82C7E"/>
    <w:rsid w:val="00C82CDB"/>
    <w:rsid w:val="00C83960"/>
    <w:rsid w:val="00C84520"/>
    <w:rsid w:val="00C8470F"/>
    <w:rsid w:val="00C84EE8"/>
    <w:rsid w:val="00C8660F"/>
    <w:rsid w:val="00C90E14"/>
    <w:rsid w:val="00C92F6F"/>
    <w:rsid w:val="00C939CC"/>
    <w:rsid w:val="00C9434E"/>
    <w:rsid w:val="00C95492"/>
    <w:rsid w:val="00C956B9"/>
    <w:rsid w:val="00C96081"/>
    <w:rsid w:val="00C961B9"/>
    <w:rsid w:val="00CA0B7A"/>
    <w:rsid w:val="00CA2141"/>
    <w:rsid w:val="00CA283B"/>
    <w:rsid w:val="00CA3AE7"/>
    <w:rsid w:val="00CA5330"/>
    <w:rsid w:val="00CA5765"/>
    <w:rsid w:val="00CA6FDF"/>
    <w:rsid w:val="00CA7F3F"/>
    <w:rsid w:val="00CB2D7B"/>
    <w:rsid w:val="00CB360C"/>
    <w:rsid w:val="00CB36B5"/>
    <w:rsid w:val="00CB403B"/>
    <w:rsid w:val="00CB43E0"/>
    <w:rsid w:val="00CB4DE1"/>
    <w:rsid w:val="00CB5D41"/>
    <w:rsid w:val="00CC0799"/>
    <w:rsid w:val="00CC130A"/>
    <w:rsid w:val="00CC1E3A"/>
    <w:rsid w:val="00CC400B"/>
    <w:rsid w:val="00CC61D6"/>
    <w:rsid w:val="00CC6486"/>
    <w:rsid w:val="00CC744D"/>
    <w:rsid w:val="00CC7EBF"/>
    <w:rsid w:val="00CD162D"/>
    <w:rsid w:val="00CD2261"/>
    <w:rsid w:val="00CD2A3B"/>
    <w:rsid w:val="00CD57F7"/>
    <w:rsid w:val="00CD609B"/>
    <w:rsid w:val="00CE068F"/>
    <w:rsid w:val="00CE1139"/>
    <w:rsid w:val="00CE128C"/>
    <w:rsid w:val="00CE23A2"/>
    <w:rsid w:val="00CE2572"/>
    <w:rsid w:val="00CE33D9"/>
    <w:rsid w:val="00CE35A1"/>
    <w:rsid w:val="00CE472F"/>
    <w:rsid w:val="00CE4BF3"/>
    <w:rsid w:val="00CE4D0B"/>
    <w:rsid w:val="00CE50FA"/>
    <w:rsid w:val="00CE537B"/>
    <w:rsid w:val="00CE5ACE"/>
    <w:rsid w:val="00CE5ED3"/>
    <w:rsid w:val="00CE6164"/>
    <w:rsid w:val="00CE6641"/>
    <w:rsid w:val="00CE6AFF"/>
    <w:rsid w:val="00CE746D"/>
    <w:rsid w:val="00CF02CC"/>
    <w:rsid w:val="00CF0696"/>
    <w:rsid w:val="00CF1BAF"/>
    <w:rsid w:val="00CF1FBC"/>
    <w:rsid w:val="00CF2852"/>
    <w:rsid w:val="00CF286A"/>
    <w:rsid w:val="00CF3213"/>
    <w:rsid w:val="00CF686C"/>
    <w:rsid w:val="00CF6EC7"/>
    <w:rsid w:val="00CF787B"/>
    <w:rsid w:val="00CF7EF3"/>
    <w:rsid w:val="00D016BA"/>
    <w:rsid w:val="00D02F8D"/>
    <w:rsid w:val="00D0330A"/>
    <w:rsid w:val="00D03E3B"/>
    <w:rsid w:val="00D0472B"/>
    <w:rsid w:val="00D0506A"/>
    <w:rsid w:val="00D05143"/>
    <w:rsid w:val="00D052B9"/>
    <w:rsid w:val="00D055A2"/>
    <w:rsid w:val="00D05912"/>
    <w:rsid w:val="00D05BFC"/>
    <w:rsid w:val="00D05ECB"/>
    <w:rsid w:val="00D065B3"/>
    <w:rsid w:val="00D06840"/>
    <w:rsid w:val="00D07D7E"/>
    <w:rsid w:val="00D103E5"/>
    <w:rsid w:val="00D10F97"/>
    <w:rsid w:val="00D1119D"/>
    <w:rsid w:val="00D12E2E"/>
    <w:rsid w:val="00D142D0"/>
    <w:rsid w:val="00D15F60"/>
    <w:rsid w:val="00D17176"/>
    <w:rsid w:val="00D17DA9"/>
    <w:rsid w:val="00D20846"/>
    <w:rsid w:val="00D216B4"/>
    <w:rsid w:val="00D24A1C"/>
    <w:rsid w:val="00D24D0F"/>
    <w:rsid w:val="00D2554C"/>
    <w:rsid w:val="00D25857"/>
    <w:rsid w:val="00D26196"/>
    <w:rsid w:val="00D26D87"/>
    <w:rsid w:val="00D278C0"/>
    <w:rsid w:val="00D27916"/>
    <w:rsid w:val="00D279F5"/>
    <w:rsid w:val="00D27A00"/>
    <w:rsid w:val="00D30794"/>
    <w:rsid w:val="00D3089F"/>
    <w:rsid w:val="00D30D9F"/>
    <w:rsid w:val="00D316E0"/>
    <w:rsid w:val="00D32166"/>
    <w:rsid w:val="00D328BD"/>
    <w:rsid w:val="00D3483F"/>
    <w:rsid w:val="00D35698"/>
    <w:rsid w:val="00D35BB7"/>
    <w:rsid w:val="00D36891"/>
    <w:rsid w:val="00D36A27"/>
    <w:rsid w:val="00D40589"/>
    <w:rsid w:val="00D40666"/>
    <w:rsid w:val="00D40A18"/>
    <w:rsid w:val="00D40B37"/>
    <w:rsid w:val="00D42A97"/>
    <w:rsid w:val="00D43BDF"/>
    <w:rsid w:val="00D44AFE"/>
    <w:rsid w:val="00D452B8"/>
    <w:rsid w:val="00D45A85"/>
    <w:rsid w:val="00D46BD4"/>
    <w:rsid w:val="00D46D84"/>
    <w:rsid w:val="00D4707E"/>
    <w:rsid w:val="00D47836"/>
    <w:rsid w:val="00D50B2A"/>
    <w:rsid w:val="00D50B82"/>
    <w:rsid w:val="00D51169"/>
    <w:rsid w:val="00D5268A"/>
    <w:rsid w:val="00D5331D"/>
    <w:rsid w:val="00D53A27"/>
    <w:rsid w:val="00D53CD3"/>
    <w:rsid w:val="00D540AB"/>
    <w:rsid w:val="00D54135"/>
    <w:rsid w:val="00D54DCA"/>
    <w:rsid w:val="00D54E90"/>
    <w:rsid w:val="00D561FA"/>
    <w:rsid w:val="00D5679A"/>
    <w:rsid w:val="00D567D2"/>
    <w:rsid w:val="00D57296"/>
    <w:rsid w:val="00D572F1"/>
    <w:rsid w:val="00D57792"/>
    <w:rsid w:val="00D62910"/>
    <w:rsid w:val="00D63B18"/>
    <w:rsid w:val="00D648EF"/>
    <w:rsid w:val="00D65542"/>
    <w:rsid w:val="00D6577E"/>
    <w:rsid w:val="00D65889"/>
    <w:rsid w:val="00D65F87"/>
    <w:rsid w:val="00D66926"/>
    <w:rsid w:val="00D675EB"/>
    <w:rsid w:val="00D679DB"/>
    <w:rsid w:val="00D702EF"/>
    <w:rsid w:val="00D70A34"/>
    <w:rsid w:val="00D72538"/>
    <w:rsid w:val="00D7258F"/>
    <w:rsid w:val="00D7259C"/>
    <w:rsid w:val="00D730F1"/>
    <w:rsid w:val="00D731E3"/>
    <w:rsid w:val="00D73643"/>
    <w:rsid w:val="00D75090"/>
    <w:rsid w:val="00D76310"/>
    <w:rsid w:val="00D77CEF"/>
    <w:rsid w:val="00D80284"/>
    <w:rsid w:val="00D80849"/>
    <w:rsid w:val="00D80A7E"/>
    <w:rsid w:val="00D81111"/>
    <w:rsid w:val="00D8257D"/>
    <w:rsid w:val="00D836CA"/>
    <w:rsid w:val="00D840A1"/>
    <w:rsid w:val="00D85929"/>
    <w:rsid w:val="00D86126"/>
    <w:rsid w:val="00D87399"/>
    <w:rsid w:val="00D8770C"/>
    <w:rsid w:val="00D90F7B"/>
    <w:rsid w:val="00D914E6"/>
    <w:rsid w:val="00D923B1"/>
    <w:rsid w:val="00D92A8D"/>
    <w:rsid w:val="00D92D7A"/>
    <w:rsid w:val="00D934F6"/>
    <w:rsid w:val="00D9382B"/>
    <w:rsid w:val="00D9695E"/>
    <w:rsid w:val="00D97021"/>
    <w:rsid w:val="00D97487"/>
    <w:rsid w:val="00DA05C1"/>
    <w:rsid w:val="00DA34AF"/>
    <w:rsid w:val="00DA3739"/>
    <w:rsid w:val="00DA5B8B"/>
    <w:rsid w:val="00DA6887"/>
    <w:rsid w:val="00DB0496"/>
    <w:rsid w:val="00DB0AE2"/>
    <w:rsid w:val="00DB0CB8"/>
    <w:rsid w:val="00DB1EAC"/>
    <w:rsid w:val="00DB2B00"/>
    <w:rsid w:val="00DB3600"/>
    <w:rsid w:val="00DB3D63"/>
    <w:rsid w:val="00DB4B4B"/>
    <w:rsid w:val="00DB58BE"/>
    <w:rsid w:val="00DB5CF9"/>
    <w:rsid w:val="00DB64B1"/>
    <w:rsid w:val="00DC003D"/>
    <w:rsid w:val="00DC0995"/>
    <w:rsid w:val="00DC25C2"/>
    <w:rsid w:val="00DC2B5C"/>
    <w:rsid w:val="00DC30E2"/>
    <w:rsid w:val="00DC3164"/>
    <w:rsid w:val="00DC5239"/>
    <w:rsid w:val="00DC53CD"/>
    <w:rsid w:val="00DC64B2"/>
    <w:rsid w:val="00DC6BB6"/>
    <w:rsid w:val="00DC76E4"/>
    <w:rsid w:val="00DD09F5"/>
    <w:rsid w:val="00DD13B1"/>
    <w:rsid w:val="00DD1500"/>
    <w:rsid w:val="00DD3857"/>
    <w:rsid w:val="00DD4A0D"/>
    <w:rsid w:val="00DD4E08"/>
    <w:rsid w:val="00DD55F7"/>
    <w:rsid w:val="00DD6182"/>
    <w:rsid w:val="00DE0544"/>
    <w:rsid w:val="00DE3CA9"/>
    <w:rsid w:val="00DE4C8D"/>
    <w:rsid w:val="00DE5D84"/>
    <w:rsid w:val="00DF0EC0"/>
    <w:rsid w:val="00DF1527"/>
    <w:rsid w:val="00DF1EDA"/>
    <w:rsid w:val="00DF1FEB"/>
    <w:rsid w:val="00DF338D"/>
    <w:rsid w:val="00DF6E6A"/>
    <w:rsid w:val="00DF7362"/>
    <w:rsid w:val="00DF7F80"/>
    <w:rsid w:val="00E00B50"/>
    <w:rsid w:val="00E02A5C"/>
    <w:rsid w:val="00E034C7"/>
    <w:rsid w:val="00E0564D"/>
    <w:rsid w:val="00E0591F"/>
    <w:rsid w:val="00E06F81"/>
    <w:rsid w:val="00E1100B"/>
    <w:rsid w:val="00E111F8"/>
    <w:rsid w:val="00E133CD"/>
    <w:rsid w:val="00E137B3"/>
    <w:rsid w:val="00E138AD"/>
    <w:rsid w:val="00E14FBA"/>
    <w:rsid w:val="00E16082"/>
    <w:rsid w:val="00E165F9"/>
    <w:rsid w:val="00E17A97"/>
    <w:rsid w:val="00E209FD"/>
    <w:rsid w:val="00E20C5F"/>
    <w:rsid w:val="00E20D13"/>
    <w:rsid w:val="00E21064"/>
    <w:rsid w:val="00E2361A"/>
    <w:rsid w:val="00E2417F"/>
    <w:rsid w:val="00E24C81"/>
    <w:rsid w:val="00E25BBC"/>
    <w:rsid w:val="00E31F43"/>
    <w:rsid w:val="00E325DE"/>
    <w:rsid w:val="00E33680"/>
    <w:rsid w:val="00E33C61"/>
    <w:rsid w:val="00E33FF6"/>
    <w:rsid w:val="00E342C4"/>
    <w:rsid w:val="00E346CA"/>
    <w:rsid w:val="00E34A6E"/>
    <w:rsid w:val="00E34F9E"/>
    <w:rsid w:val="00E358B8"/>
    <w:rsid w:val="00E36687"/>
    <w:rsid w:val="00E37104"/>
    <w:rsid w:val="00E372A3"/>
    <w:rsid w:val="00E43C82"/>
    <w:rsid w:val="00E45886"/>
    <w:rsid w:val="00E4594D"/>
    <w:rsid w:val="00E4642A"/>
    <w:rsid w:val="00E46E9C"/>
    <w:rsid w:val="00E4722E"/>
    <w:rsid w:val="00E47646"/>
    <w:rsid w:val="00E477CE"/>
    <w:rsid w:val="00E47804"/>
    <w:rsid w:val="00E47C07"/>
    <w:rsid w:val="00E47FC7"/>
    <w:rsid w:val="00E502AA"/>
    <w:rsid w:val="00E50A0D"/>
    <w:rsid w:val="00E5114E"/>
    <w:rsid w:val="00E51367"/>
    <w:rsid w:val="00E5212D"/>
    <w:rsid w:val="00E521D0"/>
    <w:rsid w:val="00E53341"/>
    <w:rsid w:val="00E53F85"/>
    <w:rsid w:val="00E540AC"/>
    <w:rsid w:val="00E55179"/>
    <w:rsid w:val="00E55269"/>
    <w:rsid w:val="00E55488"/>
    <w:rsid w:val="00E556D9"/>
    <w:rsid w:val="00E55CB5"/>
    <w:rsid w:val="00E56DBB"/>
    <w:rsid w:val="00E57453"/>
    <w:rsid w:val="00E61E02"/>
    <w:rsid w:val="00E639F6"/>
    <w:rsid w:val="00E64DAA"/>
    <w:rsid w:val="00E65383"/>
    <w:rsid w:val="00E65F79"/>
    <w:rsid w:val="00E66B34"/>
    <w:rsid w:val="00E674F8"/>
    <w:rsid w:val="00E676E0"/>
    <w:rsid w:val="00E67AC9"/>
    <w:rsid w:val="00E67EDD"/>
    <w:rsid w:val="00E73EB0"/>
    <w:rsid w:val="00E75A7A"/>
    <w:rsid w:val="00E77E06"/>
    <w:rsid w:val="00E819E2"/>
    <w:rsid w:val="00E842E1"/>
    <w:rsid w:val="00E8526B"/>
    <w:rsid w:val="00E86CD5"/>
    <w:rsid w:val="00E87236"/>
    <w:rsid w:val="00E8799A"/>
    <w:rsid w:val="00E91635"/>
    <w:rsid w:val="00E92B82"/>
    <w:rsid w:val="00E92E0A"/>
    <w:rsid w:val="00E93230"/>
    <w:rsid w:val="00E93369"/>
    <w:rsid w:val="00E94D71"/>
    <w:rsid w:val="00E953C3"/>
    <w:rsid w:val="00E95B7B"/>
    <w:rsid w:val="00E97F51"/>
    <w:rsid w:val="00EA05CB"/>
    <w:rsid w:val="00EA0BD0"/>
    <w:rsid w:val="00EA184B"/>
    <w:rsid w:val="00EA2E88"/>
    <w:rsid w:val="00EA3362"/>
    <w:rsid w:val="00EA6361"/>
    <w:rsid w:val="00EB113B"/>
    <w:rsid w:val="00EB17D5"/>
    <w:rsid w:val="00EB32D8"/>
    <w:rsid w:val="00EB33E9"/>
    <w:rsid w:val="00EB442A"/>
    <w:rsid w:val="00EB68FB"/>
    <w:rsid w:val="00EB6968"/>
    <w:rsid w:val="00EB7068"/>
    <w:rsid w:val="00EC0328"/>
    <w:rsid w:val="00EC1CB2"/>
    <w:rsid w:val="00EC32CB"/>
    <w:rsid w:val="00EC4B53"/>
    <w:rsid w:val="00EC5143"/>
    <w:rsid w:val="00EC5F5A"/>
    <w:rsid w:val="00EC65B0"/>
    <w:rsid w:val="00EC73F0"/>
    <w:rsid w:val="00ED0888"/>
    <w:rsid w:val="00ED37E6"/>
    <w:rsid w:val="00ED4D4E"/>
    <w:rsid w:val="00ED653F"/>
    <w:rsid w:val="00ED6C5A"/>
    <w:rsid w:val="00ED6CCF"/>
    <w:rsid w:val="00EE0FA9"/>
    <w:rsid w:val="00EE2088"/>
    <w:rsid w:val="00EE3840"/>
    <w:rsid w:val="00EE5BD4"/>
    <w:rsid w:val="00EE6578"/>
    <w:rsid w:val="00EE6CE3"/>
    <w:rsid w:val="00EE70B6"/>
    <w:rsid w:val="00EF02C9"/>
    <w:rsid w:val="00EF0E3E"/>
    <w:rsid w:val="00EF1D26"/>
    <w:rsid w:val="00EF1EDC"/>
    <w:rsid w:val="00EF3142"/>
    <w:rsid w:val="00EF3BFD"/>
    <w:rsid w:val="00EF4B84"/>
    <w:rsid w:val="00EF616E"/>
    <w:rsid w:val="00EF6D91"/>
    <w:rsid w:val="00EF760B"/>
    <w:rsid w:val="00F001F1"/>
    <w:rsid w:val="00F0206A"/>
    <w:rsid w:val="00F028D7"/>
    <w:rsid w:val="00F0389A"/>
    <w:rsid w:val="00F04ABD"/>
    <w:rsid w:val="00F04D9D"/>
    <w:rsid w:val="00F05CCA"/>
    <w:rsid w:val="00F06EF0"/>
    <w:rsid w:val="00F07DB3"/>
    <w:rsid w:val="00F10B49"/>
    <w:rsid w:val="00F1195F"/>
    <w:rsid w:val="00F14003"/>
    <w:rsid w:val="00F16B19"/>
    <w:rsid w:val="00F16BD9"/>
    <w:rsid w:val="00F16FD8"/>
    <w:rsid w:val="00F20F44"/>
    <w:rsid w:val="00F213DD"/>
    <w:rsid w:val="00F21D2F"/>
    <w:rsid w:val="00F22B5E"/>
    <w:rsid w:val="00F23906"/>
    <w:rsid w:val="00F23EAD"/>
    <w:rsid w:val="00F24634"/>
    <w:rsid w:val="00F25E65"/>
    <w:rsid w:val="00F25F80"/>
    <w:rsid w:val="00F270C5"/>
    <w:rsid w:val="00F2741B"/>
    <w:rsid w:val="00F27AC4"/>
    <w:rsid w:val="00F314A0"/>
    <w:rsid w:val="00F315FB"/>
    <w:rsid w:val="00F3219A"/>
    <w:rsid w:val="00F34E31"/>
    <w:rsid w:val="00F350EA"/>
    <w:rsid w:val="00F3711F"/>
    <w:rsid w:val="00F37550"/>
    <w:rsid w:val="00F37738"/>
    <w:rsid w:val="00F40DF8"/>
    <w:rsid w:val="00F410EF"/>
    <w:rsid w:val="00F428D6"/>
    <w:rsid w:val="00F42ADC"/>
    <w:rsid w:val="00F438A6"/>
    <w:rsid w:val="00F44864"/>
    <w:rsid w:val="00F44CF7"/>
    <w:rsid w:val="00F452CE"/>
    <w:rsid w:val="00F45601"/>
    <w:rsid w:val="00F46A05"/>
    <w:rsid w:val="00F46CCD"/>
    <w:rsid w:val="00F47FF4"/>
    <w:rsid w:val="00F51185"/>
    <w:rsid w:val="00F5289B"/>
    <w:rsid w:val="00F53581"/>
    <w:rsid w:val="00F53A3C"/>
    <w:rsid w:val="00F53C05"/>
    <w:rsid w:val="00F551F4"/>
    <w:rsid w:val="00F55B93"/>
    <w:rsid w:val="00F57943"/>
    <w:rsid w:val="00F60157"/>
    <w:rsid w:val="00F6040D"/>
    <w:rsid w:val="00F60575"/>
    <w:rsid w:val="00F610ED"/>
    <w:rsid w:val="00F61FA2"/>
    <w:rsid w:val="00F62DFB"/>
    <w:rsid w:val="00F63AAD"/>
    <w:rsid w:val="00F63C9D"/>
    <w:rsid w:val="00F63D90"/>
    <w:rsid w:val="00F643C9"/>
    <w:rsid w:val="00F65745"/>
    <w:rsid w:val="00F6718C"/>
    <w:rsid w:val="00F67268"/>
    <w:rsid w:val="00F672C1"/>
    <w:rsid w:val="00F674F5"/>
    <w:rsid w:val="00F67915"/>
    <w:rsid w:val="00F67A6C"/>
    <w:rsid w:val="00F67D4F"/>
    <w:rsid w:val="00F708DF"/>
    <w:rsid w:val="00F709A4"/>
    <w:rsid w:val="00F70BCC"/>
    <w:rsid w:val="00F70CFA"/>
    <w:rsid w:val="00F71547"/>
    <w:rsid w:val="00F717C2"/>
    <w:rsid w:val="00F71896"/>
    <w:rsid w:val="00F72275"/>
    <w:rsid w:val="00F72705"/>
    <w:rsid w:val="00F72C4D"/>
    <w:rsid w:val="00F72C57"/>
    <w:rsid w:val="00F73FB8"/>
    <w:rsid w:val="00F76D8C"/>
    <w:rsid w:val="00F772D4"/>
    <w:rsid w:val="00F777AD"/>
    <w:rsid w:val="00F77A0D"/>
    <w:rsid w:val="00F821DA"/>
    <w:rsid w:val="00F835E0"/>
    <w:rsid w:val="00F840AC"/>
    <w:rsid w:val="00F846DA"/>
    <w:rsid w:val="00F84719"/>
    <w:rsid w:val="00F8519C"/>
    <w:rsid w:val="00F86975"/>
    <w:rsid w:val="00F87DEF"/>
    <w:rsid w:val="00F87EF5"/>
    <w:rsid w:val="00F91C36"/>
    <w:rsid w:val="00F91D49"/>
    <w:rsid w:val="00F91F9A"/>
    <w:rsid w:val="00F9264F"/>
    <w:rsid w:val="00F928D8"/>
    <w:rsid w:val="00F93867"/>
    <w:rsid w:val="00F93EE1"/>
    <w:rsid w:val="00F95199"/>
    <w:rsid w:val="00F959F7"/>
    <w:rsid w:val="00F9775E"/>
    <w:rsid w:val="00F97B68"/>
    <w:rsid w:val="00FA0451"/>
    <w:rsid w:val="00FA08B1"/>
    <w:rsid w:val="00FA2E13"/>
    <w:rsid w:val="00FA3644"/>
    <w:rsid w:val="00FA545A"/>
    <w:rsid w:val="00FA59ED"/>
    <w:rsid w:val="00FA6114"/>
    <w:rsid w:val="00FA6325"/>
    <w:rsid w:val="00FA6CC4"/>
    <w:rsid w:val="00FA6F08"/>
    <w:rsid w:val="00FB000F"/>
    <w:rsid w:val="00FB11AF"/>
    <w:rsid w:val="00FB13A0"/>
    <w:rsid w:val="00FB18E3"/>
    <w:rsid w:val="00FB1A77"/>
    <w:rsid w:val="00FB1B90"/>
    <w:rsid w:val="00FB290D"/>
    <w:rsid w:val="00FB32C1"/>
    <w:rsid w:val="00FB3B73"/>
    <w:rsid w:val="00FB3BF7"/>
    <w:rsid w:val="00FB3DB4"/>
    <w:rsid w:val="00FB3F21"/>
    <w:rsid w:val="00FB45C4"/>
    <w:rsid w:val="00FB50F4"/>
    <w:rsid w:val="00FB544D"/>
    <w:rsid w:val="00FB6230"/>
    <w:rsid w:val="00FB708D"/>
    <w:rsid w:val="00FC0060"/>
    <w:rsid w:val="00FC06A9"/>
    <w:rsid w:val="00FC2A4D"/>
    <w:rsid w:val="00FC2BC5"/>
    <w:rsid w:val="00FC2F3C"/>
    <w:rsid w:val="00FC551A"/>
    <w:rsid w:val="00FC56A9"/>
    <w:rsid w:val="00FC72F1"/>
    <w:rsid w:val="00FD01EF"/>
    <w:rsid w:val="00FD0D44"/>
    <w:rsid w:val="00FD153B"/>
    <w:rsid w:val="00FD175D"/>
    <w:rsid w:val="00FD2567"/>
    <w:rsid w:val="00FD2A90"/>
    <w:rsid w:val="00FD30EE"/>
    <w:rsid w:val="00FD3626"/>
    <w:rsid w:val="00FD3D2A"/>
    <w:rsid w:val="00FD4BE6"/>
    <w:rsid w:val="00FD6452"/>
    <w:rsid w:val="00FD646C"/>
    <w:rsid w:val="00FD6D41"/>
    <w:rsid w:val="00FD6DDE"/>
    <w:rsid w:val="00FD6FA0"/>
    <w:rsid w:val="00FD7E87"/>
    <w:rsid w:val="00FE0040"/>
    <w:rsid w:val="00FE0727"/>
    <w:rsid w:val="00FE0F37"/>
    <w:rsid w:val="00FE13CB"/>
    <w:rsid w:val="00FE186F"/>
    <w:rsid w:val="00FE1C7A"/>
    <w:rsid w:val="00FE24A6"/>
    <w:rsid w:val="00FE2D0E"/>
    <w:rsid w:val="00FE379E"/>
    <w:rsid w:val="00FE4161"/>
    <w:rsid w:val="00FE527A"/>
    <w:rsid w:val="00FE59BD"/>
    <w:rsid w:val="00FE5A24"/>
    <w:rsid w:val="00FE5F37"/>
    <w:rsid w:val="00FE73C6"/>
    <w:rsid w:val="00FE7831"/>
    <w:rsid w:val="00FF07E5"/>
    <w:rsid w:val="00FF45C0"/>
    <w:rsid w:val="00FF50F6"/>
    <w:rsid w:val="00FF5FD1"/>
    <w:rsid w:val="00FF6517"/>
    <w:rsid w:val="00FF67D6"/>
    <w:rsid w:val="00FF6EBB"/>
    <w:rsid w:val="00FF6F31"/>
    <w:rsid w:val="00FF72B8"/>
    <w:rsid w:val="00FF7BDD"/>
    <w:rsid w:val="00FF7F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76BE25B0-88E5-41A6-8968-CF3EA888F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fr-LU" w:eastAsia="fr-L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D84"/>
    <w:rPr>
      <w:rFonts w:ascii="Arial" w:hAnsi="Arial"/>
      <w:color w:val="000000"/>
      <w:sz w:val="24"/>
      <w:lang w:val="fr-FR" w:eastAsia="fr-FR"/>
    </w:rPr>
  </w:style>
  <w:style w:type="paragraph" w:styleId="Titre1">
    <w:name w:val="heading 1"/>
    <w:basedOn w:val="Normal"/>
    <w:next w:val="Normal"/>
    <w:link w:val="Titre1Car"/>
    <w:qFormat/>
    <w:pPr>
      <w:keepNext/>
      <w:numPr>
        <w:numId w:val="1"/>
      </w:numPr>
      <w:spacing w:before="140" w:line="240" w:lineRule="exact"/>
      <w:ind w:right="129"/>
      <w:jc w:val="both"/>
      <w:outlineLvl w:val="0"/>
    </w:pPr>
    <w:rPr>
      <w:rFonts w:ascii="Times New Roman" w:hAnsi="Times New Roman"/>
      <w:i/>
      <w:sz w:val="20"/>
    </w:rPr>
  </w:style>
  <w:style w:type="paragraph" w:styleId="Titre2">
    <w:name w:val="heading 2"/>
    <w:basedOn w:val="Normal"/>
    <w:next w:val="Normal"/>
    <w:qFormat/>
    <w:pPr>
      <w:keepNext/>
      <w:spacing w:before="140" w:line="240" w:lineRule="exact"/>
      <w:ind w:right="129"/>
      <w:jc w:val="both"/>
      <w:outlineLvl w:val="1"/>
    </w:pPr>
    <w:rPr>
      <w:rFonts w:ascii="Times New Roman" w:hAnsi="Times New Roman"/>
      <w:i/>
      <w:sz w:val="20"/>
    </w:rPr>
  </w:style>
  <w:style w:type="paragraph" w:styleId="Titre3">
    <w:name w:val="heading 3"/>
    <w:basedOn w:val="Normal"/>
    <w:next w:val="Normal"/>
    <w:qFormat/>
    <w:pPr>
      <w:keepNext/>
      <w:numPr>
        <w:numId w:val="3"/>
      </w:numPr>
      <w:spacing w:before="140"/>
      <w:ind w:right="130"/>
      <w:jc w:val="both"/>
      <w:outlineLvl w:val="2"/>
    </w:pPr>
    <w:rPr>
      <w:rFonts w:ascii="Times" w:hAnsi="Times"/>
      <w:i/>
      <w:sz w:val="20"/>
    </w:rPr>
  </w:style>
  <w:style w:type="paragraph" w:styleId="Titre4">
    <w:name w:val="heading 4"/>
    <w:basedOn w:val="Normal"/>
    <w:next w:val="Normal"/>
    <w:qFormat/>
    <w:pPr>
      <w:keepNext/>
      <w:spacing w:after="240" w:line="240" w:lineRule="exact"/>
      <w:ind w:left="79" w:right="130" w:firstLine="488"/>
      <w:jc w:val="both"/>
      <w:outlineLvl w:val="3"/>
    </w:pPr>
    <w:rPr>
      <w:rFonts w:ascii="Times New Roman" w:hAnsi="Times New Roman"/>
      <w:b/>
      <w:sz w:val="20"/>
      <w:lang w:val="fr-LU"/>
    </w:rPr>
  </w:style>
  <w:style w:type="paragraph" w:styleId="Titre5">
    <w:name w:val="heading 5"/>
    <w:basedOn w:val="Normal"/>
    <w:next w:val="Normal"/>
    <w:qFormat/>
    <w:pPr>
      <w:keepNext/>
      <w:spacing w:before="240" w:after="60" w:line="240" w:lineRule="exact"/>
      <w:ind w:left="62" w:right="130" w:firstLine="505"/>
      <w:jc w:val="both"/>
      <w:outlineLvl w:val="4"/>
    </w:pPr>
    <w:rPr>
      <w:rFonts w:ascii="Times New Roman" w:hAnsi="Times New Roman"/>
      <w:b/>
      <w:sz w:val="20"/>
      <w:lang w:val="fr-LU"/>
    </w:rPr>
  </w:style>
  <w:style w:type="paragraph" w:styleId="Titre6">
    <w:name w:val="heading 6"/>
    <w:basedOn w:val="Normal"/>
    <w:next w:val="Normal"/>
    <w:link w:val="Titre6Car"/>
    <w:qFormat/>
    <w:pPr>
      <w:keepNext/>
      <w:spacing w:before="240" w:after="60" w:line="240" w:lineRule="exact"/>
      <w:ind w:left="1418" w:right="130" w:hanging="851"/>
      <w:jc w:val="both"/>
      <w:outlineLvl w:val="5"/>
    </w:pPr>
    <w:rPr>
      <w:rFonts w:ascii="Times New Roman" w:hAnsi="Times New Roman"/>
      <w:b/>
      <w:sz w:val="20"/>
      <w:lang w:val="fr-LU"/>
    </w:rPr>
  </w:style>
  <w:style w:type="paragraph" w:styleId="Titre7">
    <w:name w:val="heading 7"/>
    <w:basedOn w:val="Normal"/>
    <w:next w:val="Normal"/>
    <w:link w:val="Titre7Car"/>
    <w:qFormat/>
    <w:pPr>
      <w:keepNext/>
      <w:spacing w:before="240" w:after="60" w:line="240" w:lineRule="exact"/>
      <w:ind w:left="1985" w:right="130" w:hanging="1418"/>
      <w:jc w:val="both"/>
      <w:outlineLvl w:val="6"/>
    </w:pPr>
    <w:rPr>
      <w:rFonts w:ascii="Times New Roman" w:hAnsi="Times New Roman"/>
      <w:b/>
      <w:sz w:val="20"/>
      <w:lang w:val="fr-L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rPr>
      <w:sz w:val="20"/>
    </w:rPr>
  </w:style>
  <w:style w:type="paragraph" w:styleId="En-tte">
    <w:name w:val="header"/>
    <w:basedOn w:val="Normal"/>
    <w:link w:val="En-tteCar"/>
    <w:uiPriority w:val="99"/>
    <w:pPr>
      <w:tabs>
        <w:tab w:val="center" w:pos="4153"/>
        <w:tab w:val="right" w:pos="8306"/>
      </w:tabs>
    </w:pPr>
  </w:style>
  <w:style w:type="paragraph" w:styleId="Pieddepage">
    <w:name w:val="footer"/>
    <w:basedOn w:val="Normal"/>
    <w:link w:val="PieddepageCar"/>
    <w:uiPriority w:val="99"/>
    <w:pPr>
      <w:tabs>
        <w:tab w:val="center" w:pos="4153"/>
        <w:tab w:val="right" w:pos="8306"/>
      </w:tabs>
    </w:pPr>
  </w:style>
  <w:style w:type="character" w:styleId="Numrodepage">
    <w:name w:val="page number"/>
    <w:basedOn w:val="Policepardfaut"/>
  </w:style>
  <w:style w:type="paragraph" w:styleId="Normalcentr">
    <w:name w:val="Block Text"/>
    <w:basedOn w:val="Normal"/>
    <w:pPr>
      <w:spacing w:before="140" w:line="240" w:lineRule="exact"/>
      <w:ind w:left="80" w:right="129" w:firstLine="487"/>
      <w:jc w:val="both"/>
    </w:pPr>
    <w:rPr>
      <w:rFonts w:ascii="Times New Roman" w:hAnsi="Times New Roman"/>
      <w:sz w:val="20"/>
    </w:rPr>
  </w:style>
  <w:style w:type="paragraph" w:styleId="Retraitcorpsdetexte">
    <w:name w:val="Body Text Indent"/>
    <w:basedOn w:val="Normal"/>
    <w:link w:val="RetraitcorpsdetexteCar"/>
    <w:pPr>
      <w:spacing w:before="140" w:line="240" w:lineRule="exact"/>
      <w:ind w:right="129" w:firstLine="567"/>
      <w:jc w:val="both"/>
    </w:pPr>
    <w:rPr>
      <w:rFonts w:ascii="Times New Roman" w:hAnsi="Times New Roman"/>
      <w:sz w:val="20"/>
      <w:lang w:val="fr-LU"/>
    </w:rPr>
  </w:style>
  <w:style w:type="paragraph" w:styleId="Retraitcorpsdetexte2">
    <w:name w:val="Body Text Indent 2"/>
    <w:basedOn w:val="Normal"/>
    <w:link w:val="Retraitcorpsdetexte2Car"/>
    <w:pPr>
      <w:ind w:firstLine="567"/>
      <w:jc w:val="both"/>
    </w:pPr>
    <w:rPr>
      <w:rFonts w:ascii="Times" w:hAnsi="Times"/>
      <w:sz w:val="20"/>
    </w:rPr>
  </w:style>
  <w:style w:type="paragraph" w:styleId="Corpsdetexte">
    <w:name w:val="Body Text"/>
    <w:basedOn w:val="Normal"/>
    <w:pPr>
      <w:spacing w:before="140" w:line="240" w:lineRule="exact"/>
      <w:ind w:right="129"/>
      <w:jc w:val="both"/>
    </w:pPr>
    <w:rPr>
      <w:rFonts w:ascii="Times New Roman" w:hAnsi="Times New Roman"/>
      <w:sz w:val="20"/>
    </w:rPr>
  </w:style>
  <w:style w:type="paragraph" w:styleId="Retraitcorpsdetexte3">
    <w:name w:val="Body Text Indent 3"/>
    <w:basedOn w:val="Normal"/>
    <w:pPr>
      <w:spacing w:before="120" w:after="120"/>
      <w:ind w:left="709" w:hanging="142"/>
      <w:jc w:val="both"/>
    </w:pPr>
    <w:rPr>
      <w:rFonts w:ascii="Times New Roman" w:hAnsi="Times New Roman"/>
      <w:color w:val="auto"/>
      <w:sz w:val="20"/>
    </w:rPr>
  </w:style>
  <w:style w:type="paragraph" w:styleId="Corpsdetexte2">
    <w:name w:val="Body Text 2"/>
    <w:basedOn w:val="Normal"/>
    <w:pPr>
      <w:tabs>
        <w:tab w:val="left" w:pos="1418"/>
      </w:tabs>
      <w:spacing w:before="60" w:after="60" w:line="240" w:lineRule="exact"/>
      <w:ind w:right="129"/>
      <w:jc w:val="both"/>
    </w:pPr>
  </w:style>
  <w:style w:type="paragraph" w:styleId="Corpsdetexte3">
    <w:name w:val="Body Text 3"/>
    <w:basedOn w:val="Normal"/>
    <w:rPr>
      <w:rFonts w:ascii="Times" w:hAnsi="Times"/>
      <w:sz w:val="20"/>
    </w:rPr>
  </w:style>
  <w:style w:type="paragraph" w:styleId="Lgende">
    <w:name w:val="caption"/>
    <w:basedOn w:val="Normal"/>
    <w:next w:val="Normal"/>
    <w:qFormat/>
    <w:pPr>
      <w:widowControl w:val="0"/>
      <w:numPr>
        <w:numId w:val="2"/>
      </w:numPr>
      <w:tabs>
        <w:tab w:val="left" w:pos="80"/>
        <w:tab w:val="left" w:pos="10080"/>
        <w:tab w:val="left" w:pos="10800"/>
      </w:tabs>
      <w:spacing w:before="80" w:after="80"/>
      <w:ind w:firstLine="851"/>
      <w:jc w:val="both"/>
    </w:pPr>
    <w:rPr>
      <w:rFonts w:ascii="Geneva" w:hAnsi="Geneva"/>
      <w:b/>
      <w:i/>
      <w:snapToGrid w:val="0"/>
      <w:color w:val="auto"/>
      <w:sz w:val="20"/>
      <w:lang w:eastAsia="en-US"/>
    </w:rPr>
  </w:style>
  <w:style w:type="paragraph" w:styleId="Commentaire">
    <w:name w:val="annotation text"/>
    <w:basedOn w:val="Normal"/>
    <w:link w:val="CommentaireCar"/>
    <w:uiPriority w:val="99"/>
    <w:semiHidden/>
    <w:pPr>
      <w:widowControl w:val="0"/>
    </w:pPr>
    <w:rPr>
      <w:rFonts w:ascii="Geneva" w:hAnsi="Geneva"/>
      <w:snapToGrid w:val="0"/>
      <w:color w:val="auto"/>
      <w:sz w:val="20"/>
      <w:lang w:eastAsia="en-US"/>
    </w:rPr>
  </w:style>
  <w:style w:type="paragraph" w:customStyle="1" w:styleId="retrait">
    <w:name w:val="retrait"/>
    <w:basedOn w:val="Normal"/>
    <w:pPr>
      <w:spacing w:line="360" w:lineRule="auto"/>
      <w:ind w:left="1134" w:firstLine="851"/>
      <w:jc w:val="both"/>
    </w:pPr>
    <w:rPr>
      <w:rFonts w:ascii="Courier New" w:hAnsi="Courier New"/>
      <w:color w:val="auto"/>
      <w:sz w:val="20"/>
    </w:rPr>
  </w:style>
  <w:style w:type="paragraph" w:customStyle="1" w:styleId="Intituldocument">
    <w:name w:val="Intitulé document"/>
    <w:basedOn w:val="Normal"/>
    <w:pPr>
      <w:keepNext/>
      <w:keepLines/>
      <w:spacing w:before="240" w:after="360"/>
    </w:pPr>
    <w:rPr>
      <w:rFonts w:ascii="Times New Roman" w:hAnsi="Times New Roman"/>
      <w:b/>
      <w:color w:val="auto"/>
      <w:kern w:val="28"/>
      <w:sz w:val="36"/>
    </w:rPr>
  </w:style>
  <w:style w:type="paragraph" w:styleId="Textebrut">
    <w:name w:val="Plain Text"/>
    <w:basedOn w:val="Normal"/>
    <w:link w:val="TextebrutCar"/>
    <w:uiPriority w:val="99"/>
    <w:rPr>
      <w:rFonts w:ascii="Courier New" w:hAnsi="Courier New"/>
      <w:color w:val="auto"/>
      <w:sz w:val="20"/>
    </w:rPr>
  </w:style>
  <w:style w:type="paragraph" w:customStyle="1" w:styleId="aind">
    <w:name w:val="a_ind"/>
    <w:basedOn w:val="Normal"/>
    <w:pPr>
      <w:overflowPunct w:val="0"/>
      <w:autoSpaceDE w:val="0"/>
      <w:autoSpaceDN w:val="0"/>
      <w:adjustRightInd w:val="0"/>
      <w:ind w:firstLine="851"/>
      <w:textAlignment w:val="baseline"/>
    </w:pPr>
    <w:rPr>
      <w:rFonts w:ascii="Times New Roman" w:hAnsi="Times New Roman"/>
      <w:color w:val="auto"/>
    </w:rPr>
  </w:style>
  <w:style w:type="paragraph" w:styleId="Textedebulles">
    <w:name w:val="Balloon Text"/>
    <w:basedOn w:val="Normal"/>
    <w:semiHidden/>
    <w:rPr>
      <w:rFonts w:ascii="Tahoma" w:hAnsi="Tahoma" w:cs="Tahoma"/>
      <w:sz w:val="16"/>
      <w:szCs w:val="16"/>
    </w:rPr>
  </w:style>
  <w:style w:type="character" w:styleId="Lienhypertexte">
    <w:name w:val="Hyperlink"/>
    <w:rPr>
      <w:color w:val="0000FF"/>
      <w:u w:val="single"/>
    </w:rPr>
  </w:style>
  <w:style w:type="character" w:customStyle="1" w:styleId="Caractrestandard">
    <w:name w:val="Caractère standard"/>
    <w:rsid w:val="00CA2141"/>
    <w:rPr>
      <w:rFonts w:cs="Bookman Old Style"/>
      <w:color w:val="000000"/>
      <w:sz w:val="20"/>
      <w:szCs w:val="20"/>
      <w:lang w:val="fr-FR"/>
    </w:rPr>
  </w:style>
  <w:style w:type="table" w:styleId="Grilledutableau">
    <w:name w:val="Table Grid"/>
    <w:basedOn w:val="TableauNormal"/>
    <w:uiPriority w:val="59"/>
    <w:rsid w:val="008B4C8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7856C4"/>
    <w:rPr>
      <w:sz w:val="20"/>
    </w:rPr>
  </w:style>
  <w:style w:type="character" w:styleId="Appelnotedebasdep">
    <w:name w:val="footnote reference"/>
    <w:aliases w:val="Footnote symbol"/>
    <w:uiPriority w:val="99"/>
    <w:rsid w:val="007856C4"/>
    <w:rPr>
      <w:vertAlign w:val="superscript"/>
    </w:rPr>
  </w:style>
  <w:style w:type="paragraph" w:customStyle="1" w:styleId="ListParagraph1">
    <w:name w:val="List Paragraph1"/>
    <w:basedOn w:val="Normal"/>
    <w:qFormat/>
    <w:rsid w:val="00201420"/>
    <w:pPr>
      <w:ind w:left="720"/>
      <w:contextualSpacing/>
      <w:jc w:val="both"/>
    </w:pPr>
    <w:rPr>
      <w:color w:val="auto"/>
      <w:sz w:val="22"/>
      <w:lang w:val="fr-CA" w:eastAsia="en-US"/>
    </w:rPr>
  </w:style>
  <w:style w:type="paragraph" w:styleId="Paragraphedeliste">
    <w:name w:val="List Paragraph"/>
    <w:basedOn w:val="Normal"/>
    <w:uiPriority w:val="34"/>
    <w:qFormat/>
    <w:rsid w:val="00E47646"/>
    <w:pPr>
      <w:ind w:left="720"/>
      <w:contextualSpacing/>
    </w:pPr>
    <w:rPr>
      <w:color w:val="auto"/>
      <w:sz w:val="22"/>
    </w:rPr>
  </w:style>
  <w:style w:type="character" w:customStyle="1" w:styleId="RetraitcorpsdetexteCar">
    <w:name w:val="Retrait corps de texte Car"/>
    <w:link w:val="Retraitcorpsdetexte"/>
    <w:rsid w:val="00F04D9D"/>
    <w:rPr>
      <w:rFonts w:ascii="Times New Roman" w:hAnsi="Times New Roman"/>
      <w:color w:val="000000"/>
      <w:lang w:val="fr-LU"/>
    </w:rPr>
  </w:style>
  <w:style w:type="character" w:customStyle="1" w:styleId="Titre1Car">
    <w:name w:val="Titre 1 Car"/>
    <w:link w:val="Titre1"/>
    <w:rsid w:val="00587CE3"/>
    <w:rPr>
      <w:rFonts w:ascii="Times New Roman" w:hAnsi="Times New Roman"/>
      <w:i/>
      <w:color w:val="000000"/>
      <w:lang w:val="en-US"/>
    </w:rPr>
  </w:style>
  <w:style w:type="character" w:customStyle="1" w:styleId="Titre7Car">
    <w:name w:val="Titre 7 Car"/>
    <w:link w:val="Titre7"/>
    <w:rsid w:val="00587CE3"/>
    <w:rPr>
      <w:rFonts w:ascii="Times New Roman" w:hAnsi="Times New Roman"/>
      <w:b/>
      <w:color w:val="000000"/>
      <w:lang w:val="fr-LU"/>
    </w:rPr>
  </w:style>
  <w:style w:type="paragraph" w:customStyle="1" w:styleId="Corps">
    <w:name w:val="Corps"/>
    <w:uiPriority w:val="99"/>
    <w:rsid w:val="005C6863"/>
    <w:pPr>
      <w:suppressAutoHyphens/>
    </w:pPr>
    <w:rPr>
      <w:rFonts w:ascii="Helvetica" w:eastAsia="Helvetica" w:hAnsi="Helvetica" w:cs="Helvetica"/>
      <w:color w:val="000000"/>
      <w:kern w:val="1"/>
      <w:sz w:val="22"/>
      <w:szCs w:val="22"/>
      <w:lang w:val="fr-FR" w:eastAsia="hi-IN" w:bidi="hi-IN"/>
    </w:rPr>
  </w:style>
  <w:style w:type="paragraph" w:customStyle="1" w:styleId="CM1">
    <w:name w:val="CM1"/>
    <w:basedOn w:val="Normal"/>
    <w:next w:val="Normal"/>
    <w:uiPriority w:val="99"/>
    <w:rsid w:val="005C6863"/>
    <w:pPr>
      <w:autoSpaceDE w:val="0"/>
      <w:autoSpaceDN w:val="0"/>
      <w:adjustRightInd w:val="0"/>
    </w:pPr>
    <w:rPr>
      <w:rFonts w:ascii="EUAlbertina" w:hAnsi="EUAlbertina"/>
      <w:color w:val="auto"/>
      <w:szCs w:val="24"/>
    </w:rPr>
  </w:style>
  <w:style w:type="character" w:customStyle="1" w:styleId="En-tteCar">
    <w:name w:val="En-tête Car"/>
    <w:link w:val="En-tte"/>
    <w:uiPriority w:val="99"/>
    <w:rsid w:val="00842EB1"/>
    <w:rPr>
      <w:rFonts w:ascii="Arial" w:hAnsi="Arial"/>
      <w:color w:val="000000"/>
      <w:sz w:val="24"/>
      <w:lang w:val="en-US"/>
    </w:rPr>
  </w:style>
  <w:style w:type="character" w:customStyle="1" w:styleId="Retraitcorpsdetexte2Car">
    <w:name w:val="Retrait corps de texte 2 Car"/>
    <w:link w:val="Retraitcorpsdetexte2"/>
    <w:rsid w:val="00971312"/>
    <w:rPr>
      <w:color w:val="000000"/>
      <w:lang w:val="en-US"/>
    </w:rPr>
  </w:style>
  <w:style w:type="character" w:styleId="Marquedecommentaire">
    <w:name w:val="annotation reference"/>
    <w:uiPriority w:val="99"/>
    <w:unhideWhenUsed/>
    <w:rsid w:val="00FC06A9"/>
    <w:rPr>
      <w:sz w:val="16"/>
      <w:szCs w:val="16"/>
    </w:rPr>
  </w:style>
  <w:style w:type="character" w:customStyle="1" w:styleId="CommentaireCar">
    <w:name w:val="Commentaire Car"/>
    <w:link w:val="Commentaire"/>
    <w:uiPriority w:val="99"/>
    <w:semiHidden/>
    <w:rsid w:val="00FC06A9"/>
    <w:rPr>
      <w:rFonts w:ascii="Geneva" w:hAnsi="Geneva"/>
      <w:snapToGrid w:val="0"/>
      <w:lang w:eastAsia="en-US"/>
    </w:rPr>
  </w:style>
  <w:style w:type="character" w:customStyle="1" w:styleId="st">
    <w:name w:val="st"/>
    <w:rsid w:val="00F04ABD"/>
  </w:style>
  <w:style w:type="paragraph" w:styleId="NormalWeb">
    <w:name w:val="Normal (Web)"/>
    <w:basedOn w:val="Normal"/>
    <w:uiPriority w:val="99"/>
    <w:unhideWhenUsed/>
    <w:rsid w:val="00315F72"/>
    <w:rPr>
      <w:rFonts w:ascii="Times New Roman" w:eastAsia="Calibri" w:hAnsi="Times New Roman"/>
      <w:color w:val="auto"/>
      <w:szCs w:val="24"/>
    </w:rPr>
  </w:style>
  <w:style w:type="paragraph" w:customStyle="1" w:styleId="Default">
    <w:name w:val="Default"/>
    <w:basedOn w:val="Normal"/>
    <w:rsid w:val="00B76032"/>
    <w:pPr>
      <w:autoSpaceDE w:val="0"/>
      <w:autoSpaceDN w:val="0"/>
    </w:pPr>
    <w:rPr>
      <w:rFonts w:ascii="Swis721 BT" w:eastAsia="Calibri" w:hAnsi="Swis721 BT"/>
      <w:szCs w:val="24"/>
    </w:rPr>
  </w:style>
  <w:style w:type="character" w:customStyle="1" w:styleId="Titre6Car">
    <w:name w:val="Titre 6 Car"/>
    <w:link w:val="Titre6"/>
    <w:rsid w:val="004518CF"/>
    <w:rPr>
      <w:rFonts w:ascii="Times New Roman" w:hAnsi="Times New Roman"/>
      <w:b/>
      <w:color w:val="000000"/>
      <w:lang w:val="fr-LU"/>
    </w:rPr>
  </w:style>
  <w:style w:type="character" w:customStyle="1" w:styleId="NotedebasdepageCar">
    <w:name w:val="Note de bas de page Car"/>
    <w:link w:val="Notedebasdepage"/>
    <w:rsid w:val="005972B5"/>
    <w:rPr>
      <w:rFonts w:ascii="Arial" w:hAnsi="Arial"/>
      <w:color w:val="000000"/>
      <w:lang w:val="en-US"/>
    </w:rPr>
  </w:style>
  <w:style w:type="character" w:customStyle="1" w:styleId="TextebrutCar">
    <w:name w:val="Texte brut Car"/>
    <w:link w:val="Textebrut"/>
    <w:uiPriority w:val="99"/>
    <w:rsid w:val="00632FB3"/>
    <w:rPr>
      <w:rFonts w:ascii="Courier New" w:hAnsi="Courier New"/>
    </w:rPr>
  </w:style>
  <w:style w:type="character" w:customStyle="1" w:styleId="PieddepageCar">
    <w:name w:val="Pied de page Car"/>
    <w:link w:val="Pieddepage"/>
    <w:uiPriority w:val="99"/>
    <w:rsid w:val="008768EF"/>
    <w:rPr>
      <w:rFonts w:ascii="Arial" w:hAnsi="Arial"/>
      <w:color w:val="000000"/>
      <w:sz w:val="24"/>
      <w:lang w:val="en-US"/>
    </w:rPr>
  </w:style>
  <w:style w:type="paragraph" w:styleId="Sansinterligne">
    <w:name w:val="No Spacing"/>
    <w:uiPriority w:val="1"/>
    <w:qFormat/>
    <w:rsid w:val="00AA52BD"/>
    <w:rPr>
      <w:rFonts w:ascii="Times New Roman" w:hAnsi="Times New Roman"/>
      <w:sz w:val="24"/>
      <w:szCs w:val="24"/>
      <w:lang w:val="fr-FR" w:eastAsia="fr-FR"/>
    </w:rPr>
  </w:style>
  <w:style w:type="paragraph" w:styleId="Listepuces">
    <w:name w:val="List Bullet"/>
    <w:basedOn w:val="Normal"/>
    <w:unhideWhenUsed/>
    <w:rsid w:val="00D065B3"/>
    <w:pPr>
      <w:numPr>
        <w:numId w:val="24"/>
      </w:numPr>
      <w:contextualSpacing/>
    </w:pPr>
  </w:style>
  <w:style w:type="paragraph" w:styleId="Rvision">
    <w:name w:val="Revision"/>
    <w:hidden/>
    <w:uiPriority w:val="99"/>
    <w:semiHidden/>
    <w:rsid w:val="008F1EF6"/>
    <w:rPr>
      <w:rFonts w:ascii="Arial" w:hAnsi="Arial"/>
      <w:color w:val="000000"/>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7854">
      <w:bodyDiv w:val="1"/>
      <w:marLeft w:val="0"/>
      <w:marRight w:val="0"/>
      <w:marTop w:val="0"/>
      <w:marBottom w:val="0"/>
      <w:divBdr>
        <w:top w:val="none" w:sz="0" w:space="0" w:color="auto"/>
        <w:left w:val="none" w:sz="0" w:space="0" w:color="auto"/>
        <w:bottom w:val="none" w:sz="0" w:space="0" w:color="auto"/>
        <w:right w:val="none" w:sz="0" w:space="0" w:color="auto"/>
      </w:divBdr>
    </w:div>
    <w:div w:id="121654599">
      <w:bodyDiv w:val="1"/>
      <w:marLeft w:val="0"/>
      <w:marRight w:val="0"/>
      <w:marTop w:val="0"/>
      <w:marBottom w:val="0"/>
      <w:divBdr>
        <w:top w:val="none" w:sz="0" w:space="0" w:color="auto"/>
        <w:left w:val="none" w:sz="0" w:space="0" w:color="auto"/>
        <w:bottom w:val="none" w:sz="0" w:space="0" w:color="auto"/>
        <w:right w:val="none" w:sz="0" w:space="0" w:color="auto"/>
      </w:divBdr>
    </w:div>
    <w:div w:id="137458500">
      <w:bodyDiv w:val="1"/>
      <w:marLeft w:val="0"/>
      <w:marRight w:val="0"/>
      <w:marTop w:val="0"/>
      <w:marBottom w:val="0"/>
      <w:divBdr>
        <w:top w:val="none" w:sz="0" w:space="0" w:color="auto"/>
        <w:left w:val="none" w:sz="0" w:space="0" w:color="auto"/>
        <w:bottom w:val="none" w:sz="0" w:space="0" w:color="auto"/>
        <w:right w:val="none" w:sz="0" w:space="0" w:color="auto"/>
      </w:divBdr>
    </w:div>
    <w:div w:id="169831578">
      <w:bodyDiv w:val="1"/>
      <w:marLeft w:val="0"/>
      <w:marRight w:val="0"/>
      <w:marTop w:val="0"/>
      <w:marBottom w:val="0"/>
      <w:divBdr>
        <w:top w:val="none" w:sz="0" w:space="0" w:color="auto"/>
        <w:left w:val="none" w:sz="0" w:space="0" w:color="auto"/>
        <w:bottom w:val="none" w:sz="0" w:space="0" w:color="auto"/>
        <w:right w:val="none" w:sz="0" w:space="0" w:color="auto"/>
      </w:divBdr>
    </w:div>
    <w:div w:id="183371913">
      <w:bodyDiv w:val="1"/>
      <w:marLeft w:val="0"/>
      <w:marRight w:val="0"/>
      <w:marTop w:val="0"/>
      <w:marBottom w:val="0"/>
      <w:divBdr>
        <w:top w:val="none" w:sz="0" w:space="0" w:color="auto"/>
        <w:left w:val="none" w:sz="0" w:space="0" w:color="auto"/>
        <w:bottom w:val="none" w:sz="0" w:space="0" w:color="auto"/>
        <w:right w:val="none" w:sz="0" w:space="0" w:color="auto"/>
      </w:divBdr>
    </w:div>
    <w:div w:id="219749363">
      <w:bodyDiv w:val="1"/>
      <w:marLeft w:val="0"/>
      <w:marRight w:val="0"/>
      <w:marTop w:val="0"/>
      <w:marBottom w:val="0"/>
      <w:divBdr>
        <w:top w:val="none" w:sz="0" w:space="0" w:color="auto"/>
        <w:left w:val="none" w:sz="0" w:space="0" w:color="auto"/>
        <w:bottom w:val="none" w:sz="0" w:space="0" w:color="auto"/>
        <w:right w:val="none" w:sz="0" w:space="0" w:color="auto"/>
      </w:divBdr>
    </w:div>
    <w:div w:id="224417346">
      <w:bodyDiv w:val="1"/>
      <w:marLeft w:val="0"/>
      <w:marRight w:val="0"/>
      <w:marTop w:val="0"/>
      <w:marBottom w:val="0"/>
      <w:divBdr>
        <w:top w:val="none" w:sz="0" w:space="0" w:color="auto"/>
        <w:left w:val="none" w:sz="0" w:space="0" w:color="auto"/>
        <w:bottom w:val="none" w:sz="0" w:space="0" w:color="auto"/>
        <w:right w:val="none" w:sz="0" w:space="0" w:color="auto"/>
      </w:divBdr>
    </w:div>
    <w:div w:id="273246862">
      <w:bodyDiv w:val="1"/>
      <w:marLeft w:val="0"/>
      <w:marRight w:val="0"/>
      <w:marTop w:val="0"/>
      <w:marBottom w:val="0"/>
      <w:divBdr>
        <w:top w:val="none" w:sz="0" w:space="0" w:color="auto"/>
        <w:left w:val="none" w:sz="0" w:space="0" w:color="auto"/>
        <w:bottom w:val="none" w:sz="0" w:space="0" w:color="auto"/>
        <w:right w:val="none" w:sz="0" w:space="0" w:color="auto"/>
      </w:divBdr>
    </w:div>
    <w:div w:id="296379130">
      <w:bodyDiv w:val="1"/>
      <w:marLeft w:val="0"/>
      <w:marRight w:val="0"/>
      <w:marTop w:val="0"/>
      <w:marBottom w:val="0"/>
      <w:divBdr>
        <w:top w:val="none" w:sz="0" w:space="0" w:color="auto"/>
        <w:left w:val="none" w:sz="0" w:space="0" w:color="auto"/>
        <w:bottom w:val="none" w:sz="0" w:space="0" w:color="auto"/>
        <w:right w:val="none" w:sz="0" w:space="0" w:color="auto"/>
      </w:divBdr>
    </w:div>
    <w:div w:id="333457365">
      <w:bodyDiv w:val="1"/>
      <w:marLeft w:val="0"/>
      <w:marRight w:val="0"/>
      <w:marTop w:val="0"/>
      <w:marBottom w:val="0"/>
      <w:divBdr>
        <w:top w:val="none" w:sz="0" w:space="0" w:color="auto"/>
        <w:left w:val="none" w:sz="0" w:space="0" w:color="auto"/>
        <w:bottom w:val="none" w:sz="0" w:space="0" w:color="auto"/>
        <w:right w:val="none" w:sz="0" w:space="0" w:color="auto"/>
      </w:divBdr>
    </w:div>
    <w:div w:id="345403732">
      <w:bodyDiv w:val="1"/>
      <w:marLeft w:val="0"/>
      <w:marRight w:val="0"/>
      <w:marTop w:val="0"/>
      <w:marBottom w:val="0"/>
      <w:divBdr>
        <w:top w:val="none" w:sz="0" w:space="0" w:color="auto"/>
        <w:left w:val="none" w:sz="0" w:space="0" w:color="auto"/>
        <w:bottom w:val="none" w:sz="0" w:space="0" w:color="auto"/>
        <w:right w:val="none" w:sz="0" w:space="0" w:color="auto"/>
      </w:divBdr>
    </w:div>
    <w:div w:id="385029916">
      <w:bodyDiv w:val="1"/>
      <w:marLeft w:val="0"/>
      <w:marRight w:val="0"/>
      <w:marTop w:val="0"/>
      <w:marBottom w:val="0"/>
      <w:divBdr>
        <w:top w:val="none" w:sz="0" w:space="0" w:color="auto"/>
        <w:left w:val="none" w:sz="0" w:space="0" w:color="auto"/>
        <w:bottom w:val="none" w:sz="0" w:space="0" w:color="auto"/>
        <w:right w:val="none" w:sz="0" w:space="0" w:color="auto"/>
      </w:divBdr>
    </w:div>
    <w:div w:id="388040801">
      <w:bodyDiv w:val="1"/>
      <w:marLeft w:val="0"/>
      <w:marRight w:val="0"/>
      <w:marTop w:val="0"/>
      <w:marBottom w:val="0"/>
      <w:divBdr>
        <w:top w:val="none" w:sz="0" w:space="0" w:color="auto"/>
        <w:left w:val="none" w:sz="0" w:space="0" w:color="auto"/>
        <w:bottom w:val="none" w:sz="0" w:space="0" w:color="auto"/>
        <w:right w:val="none" w:sz="0" w:space="0" w:color="auto"/>
      </w:divBdr>
    </w:div>
    <w:div w:id="403072659">
      <w:bodyDiv w:val="1"/>
      <w:marLeft w:val="0"/>
      <w:marRight w:val="0"/>
      <w:marTop w:val="0"/>
      <w:marBottom w:val="0"/>
      <w:divBdr>
        <w:top w:val="none" w:sz="0" w:space="0" w:color="auto"/>
        <w:left w:val="none" w:sz="0" w:space="0" w:color="auto"/>
        <w:bottom w:val="none" w:sz="0" w:space="0" w:color="auto"/>
        <w:right w:val="none" w:sz="0" w:space="0" w:color="auto"/>
      </w:divBdr>
    </w:div>
    <w:div w:id="503009720">
      <w:bodyDiv w:val="1"/>
      <w:marLeft w:val="0"/>
      <w:marRight w:val="0"/>
      <w:marTop w:val="0"/>
      <w:marBottom w:val="0"/>
      <w:divBdr>
        <w:top w:val="none" w:sz="0" w:space="0" w:color="auto"/>
        <w:left w:val="none" w:sz="0" w:space="0" w:color="auto"/>
        <w:bottom w:val="none" w:sz="0" w:space="0" w:color="auto"/>
        <w:right w:val="none" w:sz="0" w:space="0" w:color="auto"/>
      </w:divBdr>
    </w:div>
    <w:div w:id="504050786">
      <w:bodyDiv w:val="1"/>
      <w:marLeft w:val="0"/>
      <w:marRight w:val="0"/>
      <w:marTop w:val="0"/>
      <w:marBottom w:val="0"/>
      <w:divBdr>
        <w:top w:val="none" w:sz="0" w:space="0" w:color="auto"/>
        <w:left w:val="none" w:sz="0" w:space="0" w:color="auto"/>
        <w:bottom w:val="none" w:sz="0" w:space="0" w:color="auto"/>
        <w:right w:val="none" w:sz="0" w:space="0" w:color="auto"/>
      </w:divBdr>
    </w:div>
    <w:div w:id="539632908">
      <w:bodyDiv w:val="1"/>
      <w:marLeft w:val="0"/>
      <w:marRight w:val="0"/>
      <w:marTop w:val="0"/>
      <w:marBottom w:val="0"/>
      <w:divBdr>
        <w:top w:val="none" w:sz="0" w:space="0" w:color="auto"/>
        <w:left w:val="none" w:sz="0" w:space="0" w:color="auto"/>
        <w:bottom w:val="none" w:sz="0" w:space="0" w:color="auto"/>
        <w:right w:val="none" w:sz="0" w:space="0" w:color="auto"/>
      </w:divBdr>
    </w:div>
    <w:div w:id="587160511">
      <w:bodyDiv w:val="1"/>
      <w:marLeft w:val="0"/>
      <w:marRight w:val="0"/>
      <w:marTop w:val="0"/>
      <w:marBottom w:val="0"/>
      <w:divBdr>
        <w:top w:val="none" w:sz="0" w:space="0" w:color="auto"/>
        <w:left w:val="none" w:sz="0" w:space="0" w:color="auto"/>
        <w:bottom w:val="none" w:sz="0" w:space="0" w:color="auto"/>
        <w:right w:val="none" w:sz="0" w:space="0" w:color="auto"/>
      </w:divBdr>
    </w:div>
    <w:div w:id="601839232">
      <w:bodyDiv w:val="1"/>
      <w:marLeft w:val="0"/>
      <w:marRight w:val="0"/>
      <w:marTop w:val="0"/>
      <w:marBottom w:val="0"/>
      <w:divBdr>
        <w:top w:val="none" w:sz="0" w:space="0" w:color="auto"/>
        <w:left w:val="none" w:sz="0" w:space="0" w:color="auto"/>
        <w:bottom w:val="none" w:sz="0" w:space="0" w:color="auto"/>
        <w:right w:val="none" w:sz="0" w:space="0" w:color="auto"/>
      </w:divBdr>
    </w:div>
    <w:div w:id="662396659">
      <w:bodyDiv w:val="1"/>
      <w:marLeft w:val="0"/>
      <w:marRight w:val="0"/>
      <w:marTop w:val="0"/>
      <w:marBottom w:val="0"/>
      <w:divBdr>
        <w:top w:val="none" w:sz="0" w:space="0" w:color="auto"/>
        <w:left w:val="none" w:sz="0" w:space="0" w:color="auto"/>
        <w:bottom w:val="none" w:sz="0" w:space="0" w:color="auto"/>
        <w:right w:val="none" w:sz="0" w:space="0" w:color="auto"/>
      </w:divBdr>
    </w:div>
    <w:div w:id="684357804">
      <w:bodyDiv w:val="1"/>
      <w:marLeft w:val="0"/>
      <w:marRight w:val="0"/>
      <w:marTop w:val="0"/>
      <w:marBottom w:val="0"/>
      <w:divBdr>
        <w:top w:val="none" w:sz="0" w:space="0" w:color="auto"/>
        <w:left w:val="none" w:sz="0" w:space="0" w:color="auto"/>
        <w:bottom w:val="none" w:sz="0" w:space="0" w:color="auto"/>
        <w:right w:val="none" w:sz="0" w:space="0" w:color="auto"/>
      </w:divBdr>
    </w:div>
    <w:div w:id="686297759">
      <w:bodyDiv w:val="1"/>
      <w:marLeft w:val="0"/>
      <w:marRight w:val="0"/>
      <w:marTop w:val="0"/>
      <w:marBottom w:val="0"/>
      <w:divBdr>
        <w:top w:val="none" w:sz="0" w:space="0" w:color="auto"/>
        <w:left w:val="none" w:sz="0" w:space="0" w:color="auto"/>
        <w:bottom w:val="none" w:sz="0" w:space="0" w:color="auto"/>
        <w:right w:val="none" w:sz="0" w:space="0" w:color="auto"/>
      </w:divBdr>
    </w:div>
    <w:div w:id="695422158">
      <w:bodyDiv w:val="1"/>
      <w:marLeft w:val="0"/>
      <w:marRight w:val="0"/>
      <w:marTop w:val="0"/>
      <w:marBottom w:val="0"/>
      <w:divBdr>
        <w:top w:val="none" w:sz="0" w:space="0" w:color="auto"/>
        <w:left w:val="none" w:sz="0" w:space="0" w:color="auto"/>
        <w:bottom w:val="none" w:sz="0" w:space="0" w:color="auto"/>
        <w:right w:val="none" w:sz="0" w:space="0" w:color="auto"/>
      </w:divBdr>
    </w:div>
    <w:div w:id="710150533">
      <w:bodyDiv w:val="1"/>
      <w:marLeft w:val="0"/>
      <w:marRight w:val="0"/>
      <w:marTop w:val="0"/>
      <w:marBottom w:val="0"/>
      <w:divBdr>
        <w:top w:val="none" w:sz="0" w:space="0" w:color="auto"/>
        <w:left w:val="none" w:sz="0" w:space="0" w:color="auto"/>
        <w:bottom w:val="none" w:sz="0" w:space="0" w:color="auto"/>
        <w:right w:val="none" w:sz="0" w:space="0" w:color="auto"/>
      </w:divBdr>
      <w:divsChild>
        <w:div w:id="951060024">
          <w:marLeft w:val="0"/>
          <w:marRight w:val="0"/>
          <w:marTop w:val="0"/>
          <w:marBottom w:val="0"/>
          <w:divBdr>
            <w:top w:val="none" w:sz="0" w:space="0" w:color="auto"/>
            <w:left w:val="none" w:sz="0" w:space="0" w:color="auto"/>
            <w:bottom w:val="none" w:sz="0" w:space="0" w:color="auto"/>
            <w:right w:val="none" w:sz="0" w:space="0" w:color="auto"/>
          </w:divBdr>
        </w:div>
      </w:divsChild>
    </w:div>
    <w:div w:id="739668586">
      <w:bodyDiv w:val="1"/>
      <w:marLeft w:val="0"/>
      <w:marRight w:val="0"/>
      <w:marTop w:val="0"/>
      <w:marBottom w:val="0"/>
      <w:divBdr>
        <w:top w:val="none" w:sz="0" w:space="0" w:color="auto"/>
        <w:left w:val="none" w:sz="0" w:space="0" w:color="auto"/>
        <w:bottom w:val="none" w:sz="0" w:space="0" w:color="auto"/>
        <w:right w:val="none" w:sz="0" w:space="0" w:color="auto"/>
      </w:divBdr>
    </w:div>
    <w:div w:id="763720201">
      <w:bodyDiv w:val="1"/>
      <w:marLeft w:val="0"/>
      <w:marRight w:val="0"/>
      <w:marTop w:val="0"/>
      <w:marBottom w:val="0"/>
      <w:divBdr>
        <w:top w:val="none" w:sz="0" w:space="0" w:color="auto"/>
        <w:left w:val="none" w:sz="0" w:space="0" w:color="auto"/>
        <w:bottom w:val="none" w:sz="0" w:space="0" w:color="auto"/>
        <w:right w:val="none" w:sz="0" w:space="0" w:color="auto"/>
      </w:divBdr>
    </w:div>
    <w:div w:id="782067929">
      <w:bodyDiv w:val="1"/>
      <w:marLeft w:val="0"/>
      <w:marRight w:val="0"/>
      <w:marTop w:val="0"/>
      <w:marBottom w:val="0"/>
      <w:divBdr>
        <w:top w:val="none" w:sz="0" w:space="0" w:color="auto"/>
        <w:left w:val="none" w:sz="0" w:space="0" w:color="auto"/>
        <w:bottom w:val="none" w:sz="0" w:space="0" w:color="auto"/>
        <w:right w:val="none" w:sz="0" w:space="0" w:color="auto"/>
      </w:divBdr>
    </w:div>
    <w:div w:id="877859132">
      <w:bodyDiv w:val="1"/>
      <w:marLeft w:val="0"/>
      <w:marRight w:val="0"/>
      <w:marTop w:val="0"/>
      <w:marBottom w:val="0"/>
      <w:divBdr>
        <w:top w:val="none" w:sz="0" w:space="0" w:color="auto"/>
        <w:left w:val="none" w:sz="0" w:space="0" w:color="auto"/>
        <w:bottom w:val="none" w:sz="0" w:space="0" w:color="auto"/>
        <w:right w:val="none" w:sz="0" w:space="0" w:color="auto"/>
      </w:divBdr>
    </w:div>
    <w:div w:id="916742426">
      <w:bodyDiv w:val="1"/>
      <w:marLeft w:val="0"/>
      <w:marRight w:val="0"/>
      <w:marTop w:val="0"/>
      <w:marBottom w:val="0"/>
      <w:divBdr>
        <w:top w:val="none" w:sz="0" w:space="0" w:color="auto"/>
        <w:left w:val="none" w:sz="0" w:space="0" w:color="auto"/>
        <w:bottom w:val="none" w:sz="0" w:space="0" w:color="auto"/>
        <w:right w:val="none" w:sz="0" w:space="0" w:color="auto"/>
      </w:divBdr>
    </w:div>
    <w:div w:id="931167063">
      <w:bodyDiv w:val="1"/>
      <w:marLeft w:val="0"/>
      <w:marRight w:val="0"/>
      <w:marTop w:val="0"/>
      <w:marBottom w:val="0"/>
      <w:divBdr>
        <w:top w:val="none" w:sz="0" w:space="0" w:color="auto"/>
        <w:left w:val="none" w:sz="0" w:space="0" w:color="auto"/>
        <w:bottom w:val="none" w:sz="0" w:space="0" w:color="auto"/>
        <w:right w:val="none" w:sz="0" w:space="0" w:color="auto"/>
      </w:divBdr>
    </w:div>
    <w:div w:id="1008140931">
      <w:bodyDiv w:val="1"/>
      <w:marLeft w:val="0"/>
      <w:marRight w:val="0"/>
      <w:marTop w:val="0"/>
      <w:marBottom w:val="0"/>
      <w:divBdr>
        <w:top w:val="none" w:sz="0" w:space="0" w:color="auto"/>
        <w:left w:val="none" w:sz="0" w:space="0" w:color="auto"/>
        <w:bottom w:val="none" w:sz="0" w:space="0" w:color="auto"/>
        <w:right w:val="none" w:sz="0" w:space="0" w:color="auto"/>
      </w:divBdr>
    </w:div>
    <w:div w:id="1015813086">
      <w:bodyDiv w:val="1"/>
      <w:marLeft w:val="0"/>
      <w:marRight w:val="0"/>
      <w:marTop w:val="0"/>
      <w:marBottom w:val="0"/>
      <w:divBdr>
        <w:top w:val="none" w:sz="0" w:space="0" w:color="auto"/>
        <w:left w:val="none" w:sz="0" w:space="0" w:color="auto"/>
        <w:bottom w:val="none" w:sz="0" w:space="0" w:color="auto"/>
        <w:right w:val="none" w:sz="0" w:space="0" w:color="auto"/>
      </w:divBdr>
    </w:div>
    <w:div w:id="1047800073">
      <w:bodyDiv w:val="1"/>
      <w:marLeft w:val="0"/>
      <w:marRight w:val="0"/>
      <w:marTop w:val="0"/>
      <w:marBottom w:val="0"/>
      <w:divBdr>
        <w:top w:val="none" w:sz="0" w:space="0" w:color="auto"/>
        <w:left w:val="none" w:sz="0" w:space="0" w:color="auto"/>
        <w:bottom w:val="none" w:sz="0" w:space="0" w:color="auto"/>
        <w:right w:val="none" w:sz="0" w:space="0" w:color="auto"/>
      </w:divBdr>
    </w:div>
    <w:div w:id="1065838433">
      <w:bodyDiv w:val="1"/>
      <w:marLeft w:val="0"/>
      <w:marRight w:val="0"/>
      <w:marTop w:val="0"/>
      <w:marBottom w:val="0"/>
      <w:divBdr>
        <w:top w:val="none" w:sz="0" w:space="0" w:color="auto"/>
        <w:left w:val="none" w:sz="0" w:space="0" w:color="auto"/>
        <w:bottom w:val="none" w:sz="0" w:space="0" w:color="auto"/>
        <w:right w:val="none" w:sz="0" w:space="0" w:color="auto"/>
      </w:divBdr>
    </w:div>
    <w:div w:id="1066949150">
      <w:bodyDiv w:val="1"/>
      <w:marLeft w:val="0"/>
      <w:marRight w:val="0"/>
      <w:marTop w:val="0"/>
      <w:marBottom w:val="0"/>
      <w:divBdr>
        <w:top w:val="none" w:sz="0" w:space="0" w:color="auto"/>
        <w:left w:val="none" w:sz="0" w:space="0" w:color="auto"/>
        <w:bottom w:val="none" w:sz="0" w:space="0" w:color="auto"/>
        <w:right w:val="none" w:sz="0" w:space="0" w:color="auto"/>
      </w:divBdr>
    </w:div>
    <w:div w:id="1075397552">
      <w:bodyDiv w:val="1"/>
      <w:marLeft w:val="0"/>
      <w:marRight w:val="0"/>
      <w:marTop w:val="0"/>
      <w:marBottom w:val="0"/>
      <w:divBdr>
        <w:top w:val="none" w:sz="0" w:space="0" w:color="auto"/>
        <w:left w:val="none" w:sz="0" w:space="0" w:color="auto"/>
        <w:bottom w:val="none" w:sz="0" w:space="0" w:color="auto"/>
        <w:right w:val="none" w:sz="0" w:space="0" w:color="auto"/>
      </w:divBdr>
    </w:div>
    <w:div w:id="1077282912">
      <w:bodyDiv w:val="1"/>
      <w:marLeft w:val="0"/>
      <w:marRight w:val="0"/>
      <w:marTop w:val="0"/>
      <w:marBottom w:val="0"/>
      <w:divBdr>
        <w:top w:val="none" w:sz="0" w:space="0" w:color="auto"/>
        <w:left w:val="none" w:sz="0" w:space="0" w:color="auto"/>
        <w:bottom w:val="none" w:sz="0" w:space="0" w:color="auto"/>
        <w:right w:val="none" w:sz="0" w:space="0" w:color="auto"/>
      </w:divBdr>
    </w:div>
    <w:div w:id="1242106325">
      <w:bodyDiv w:val="1"/>
      <w:marLeft w:val="0"/>
      <w:marRight w:val="0"/>
      <w:marTop w:val="0"/>
      <w:marBottom w:val="0"/>
      <w:divBdr>
        <w:top w:val="none" w:sz="0" w:space="0" w:color="auto"/>
        <w:left w:val="none" w:sz="0" w:space="0" w:color="auto"/>
        <w:bottom w:val="none" w:sz="0" w:space="0" w:color="auto"/>
        <w:right w:val="none" w:sz="0" w:space="0" w:color="auto"/>
      </w:divBdr>
    </w:div>
    <w:div w:id="1266618359">
      <w:bodyDiv w:val="1"/>
      <w:marLeft w:val="0"/>
      <w:marRight w:val="0"/>
      <w:marTop w:val="0"/>
      <w:marBottom w:val="0"/>
      <w:divBdr>
        <w:top w:val="none" w:sz="0" w:space="0" w:color="auto"/>
        <w:left w:val="none" w:sz="0" w:space="0" w:color="auto"/>
        <w:bottom w:val="none" w:sz="0" w:space="0" w:color="auto"/>
        <w:right w:val="none" w:sz="0" w:space="0" w:color="auto"/>
      </w:divBdr>
    </w:div>
    <w:div w:id="1281692301">
      <w:bodyDiv w:val="1"/>
      <w:marLeft w:val="0"/>
      <w:marRight w:val="0"/>
      <w:marTop w:val="0"/>
      <w:marBottom w:val="0"/>
      <w:divBdr>
        <w:top w:val="none" w:sz="0" w:space="0" w:color="auto"/>
        <w:left w:val="none" w:sz="0" w:space="0" w:color="auto"/>
        <w:bottom w:val="none" w:sz="0" w:space="0" w:color="auto"/>
        <w:right w:val="none" w:sz="0" w:space="0" w:color="auto"/>
      </w:divBdr>
    </w:div>
    <w:div w:id="1292397239">
      <w:bodyDiv w:val="1"/>
      <w:marLeft w:val="0"/>
      <w:marRight w:val="0"/>
      <w:marTop w:val="0"/>
      <w:marBottom w:val="0"/>
      <w:divBdr>
        <w:top w:val="none" w:sz="0" w:space="0" w:color="auto"/>
        <w:left w:val="none" w:sz="0" w:space="0" w:color="auto"/>
        <w:bottom w:val="none" w:sz="0" w:space="0" w:color="auto"/>
        <w:right w:val="none" w:sz="0" w:space="0" w:color="auto"/>
      </w:divBdr>
    </w:div>
    <w:div w:id="1298337781">
      <w:bodyDiv w:val="1"/>
      <w:marLeft w:val="0"/>
      <w:marRight w:val="0"/>
      <w:marTop w:val="0"/>
      <w:marBottom w:val="0"/>
      <w:divBdr>
        <w:top w:val="none" w:sz="0" w:space="0" w:color="auto"/>
        <w:left w:val="none" w:sz="0" w:space="0" w:color="auto"/>
        <w:bottom w:val="none" w:sz="0" w:space="0" w:color="auto"/>
        <w:right w:val="none" w:sz="0" w:space="0" w:color="auto"/>
      </w:divBdr>
    </w:div>
    <w:div w:id="1351226164">
      <w:bodyDiv w:val="1"/>
      <w:marLeft w:val="0"/>
      <w:marRight w:val="0"/>
      <w:marTop w:val="0"/>
      <w:marBottom w:val="0"/>
      <w:divBdr>
        <w:top w:val="none" w:sz="0" w:space="0" w:color="auto"/>
        <w:left w:val="none" w:sz="0" w:space="0" w:color="auto"/>
        <w:bottom w:val="none" w:sz="0" w:space="0" w:color="auto"/>
        <w:right w:val="none" w:sz="0" w:space="0" w:color="auto"/>
      </w:divBdr>
    </w:div>
    <w:div w:id="1417943012">
      <w:bodyDiv w:val="1"/>
      <w:marLeft w:val="0"/>
      <w:marRight w:val="0"/>
      <w:marTop w:val="0"/>
      <w:marBottom w:val="0"/>
      <w:divBdr>
        <w:top w:val="none" w:sz="0" w:space="0" w:color="auto"/>
        <w:left w:val="none" w:sz="0" w:space="0" w:color="auto"/>
        <w:bottom w:val="none" w:sz="0" w:space="0" w:color="auto"/>
        <w:right w:val="none" w:sz="0" w:space="0" w:color="auto"/>
      </w:divBdr>
    </w:div>
    <w:div w:id="1465193666">
      <w:bodyDiv w:val="1"/>
      <w:marLeft w:val="0"/>
      <w:marRight w:val="0"/>
      <w:marTop w:val="0"/>
      <w:marBottom w:val="0"/>
      <w:divBdr>
        <w:top w:val="none" w:sz="0" w:space="0" w:color="auto"/>
        <w:left w:val="none" w:sz="0" w:space="0" w:color="auto"/>
        <w:bottom w:val="none" w:sz="0" w:space="0" w:color="auto"/>
        <w:right w:val="none" w:sz="0" w:space="0" w:color="auto"/>
      </w:divBdr>
    </w:div>
    <w:div w:id="1473714362">
      <w:bodyDiv w:val="1"/>
      <w:marLeft w:val="0"/>
      <w:marRight w:val="0"/>
      <w:marTop w:val="0"/>
      <w:marBottom w:val="0"/>
      <w:divBdr>
        <w:top w:val="none" w:sz="0" w:space="0" w:color="auto"/>
        <w:left w:val="none" w:sz="0" w:space="0" w:color="auto"/>
        <w:bottom w:val="none" w:sz="0" w:space="0" w:color="auto"/>
        <w:right w:val="none" w:sz="0" w:space="0" w:color="auto"/>
      </w:divBdr>
    </w:div>
    <w:div w:id="1482849590">
      <w:bodyDiv w:val="1"/>
      <w:marLeft w:val="0"/>
      <w:marRight w:val="0"/>
      <w:marTop w:val="0"/>
      <w:marBottom w:val="0"/>
      <w:divBdr>
        <w:top w:val="none" w:sz="0" w:space="0" w:color="auto"/>
        <w:left w:val="none" w:sz="0" w:space="0" w:color="auto"/>
        <w:bottom w:val="none" w:sz="0" w:space="0" w:color="auto"/>
        <w:right w:val="none" w:sz="0" w:space="0" w:color="auto"/>
      </w:divBdr>
    </w:div>
    <w:div w:id="1502967034">
      <w:bodyDiv w:val="1"/>
      <w:marLeft w:val="0"/>
      <w:marRight w:val="0"/>
      <w:marTop w:val="0"/>
      <w:marBottom w:val="0"/>
      <w:divBdr>
        <w:top w:val="none" w:sz="0" w:space="0" w:color="auto"/>
        <w:left w:val="none" w:sz="0" w:space="0" w:color="auto"/>
        <w:bottom w:val="none" w:sz="0" w:space="0" w:color="auto"/>
        <w:right w:val="none" w:sz="0" w:space="0" w:color="auto"/>
      </w:divBdr>
    </w:div>
    <w:div w:id="1529373645">
      <w:bodyDiv w:val="1"/>
      <w:marLeft w:val="0"/>
      <w:marRight w:val="0"/>
      <w:marTop w:val="0"/>
      <w:marBottom w:val="0"/>
      <w:divBdr>
        <w:top w:val="none" w:sz="0" w:space="0" w:color="auto"/>
        <w:left w:val="none" w:sz="0" w:space="0" w:color="auto"/>
        <w:bottom w:val="none" w:sz="0" w:space="0" w:color="auto"/>
        <w:right w:val="none" w:sz="0" w:space="0" w:color="auto"/>
      </w:divBdr>
    </w:div>
    <w:div w:id="1531525133">
      <w:bodyDiv w:val="1"/>
      <w:marLeft w:val="0"/>
      <w:marRight w:val="0"/>
      <w:marTop w:val="0"/>
      <w:marBottom w:val="0"/>
      <w:divBdr>
        <w:top w:val="none" w:sz="0" w:space="0" w:color="auto"/>
        <w:left w:val="none" w:sz="0" w:space="0" w:color="auto"/>
        <w:bottom w:val="none" w:sz="0" w:space="0" w:color="auto"/>
        <w:right w:val="none" w:sz="0" w:space="0" w:color="auto"/>
      </w:divBdr>
    </w:div>
    <w:div w:id="1567106423">
      <w:bodyDiv w:val="1"/>
      <w:marLeft w:val="0"/>
      <w:marRight w:val="0"/>
      <w:marTop w:val="0"/>
      <w:marBottom w:val="0"/>
      <w:divBdr>
        <w:top w:val="none" w:sz="0" w:space="0" w:color="auto"/>
        <w:left w:val="none" w:sz="0" w:space="0" w:color="auto"/>
        <w:bottom w:val="none" w:sz="0" w:space="0" w:color="auto"/>
        <w:right w:val="none" w:sz="0" w:space="0" w:color="auto"/>
      </w:divBdr>
    </w:div>
    <w:div w:id="1647318864">
      <w:bodyDiv w:val="1"/>
      <w:marLeft w:val="0"/>
      <w:marRight w:val="0"/>
      <w:marTop w:val="0"/>
      <w:marBottom w:val="0"/>
      <w:divBdr>
        <w:top w:val="none" w:sz="0" w:space="0" w:color="auto"/>
        <w:left w:val="none" w:sz="0" w:space="0" w:color="auto"/>
        <w:bottom w:val="none" w:sz="0" w:space="0" w:color="auto"/>
        <w:right w:val="none" w:sz="0" w:space="0" w:color="auto"/>
      </w:divBdr>
    </w:div>
    <w:div w:id="1689678575">
      <w:bodyDiv w:val="1"/>
      <w:marLeft w:val="0"/>
      <w:marRight w:val="0"/>
      <w:marTop w:val="0"/>
      <w:marBottom w:val="0"/>
      <w:divBdr>
        <w:top w:val="none" w:sz="0" w:space="0" w:color="auto"/>
        <w:left w:val="none" w:sz="0" w:space="0" w:color="auto"/>
        <w:bottom w:val="none" w:sz="0" w:space="0" w:color="auto"/>
        <w:right w:val="none" w:sz="0" w:space="0" w:color="auto"/>
      </w:divBdr>
    </w:div>
    <w:div w:id="1700007326">
      <w:bodyDiv w:val="1"/>
      <w:marLeft w:val="0"/>
      <w:marRight w:val="0"/>
      <w:marTop w:val="0"/>
      <w:marBottom w:val="0"/>
      <w:divBdr>
        <w:top w:val="none" w:sz="0" w:space="0" w:color="auto"/>
        <w:left w:val="none" w:sz="0" w:space="0" w:color="auto"/>
        <w:bottom w:val="none" w:sz="0" w:space="0" w:color="auto"/>
        <w:right w:val="none" w:sz="0" w:space="0" w:color="auto"/>
      </w:divBdr>
    </w:div>
    <w:div w:id="1718236697">
      <w:bodyDiv w:val="1"/>
      <w:marLeft w:val="0"/>
      <w:marRight w:val="0"/>
      <w:marTop w:val="0"/>
      <w:marBottom w:val="0"/>
      <w:divBdr>
        <w:top w:val="none" w:sz="0" w:space="0" w:color="auto"/>
        <w:left w:val="none" w:sz="0" w:space="0" w:color="auto"/>
        <w:bottom w:val="none" w:sz="0" w:space="0" w:color="auto"/>
        <w:right w:val="none" w:sz="0" w:space="0" w:color="auto"/>
      </w:divBdr>
    </w:div>
    <w:div w:id="1740401949">
      <w:bodyDiv w:val="1"/>
      <w:marLeft w:val="0"/>
      <w:marRight w:val="0"/>
      <w:marTop w:val="0"/>
      <w:marBottom w:val="0"/>
      <w:divBdr>
        <w:top w:val="none" w:sz="0" w:space="0" w:color="auto"/>
        <w:left w:val="none" w:sz="0" w:space="0" w:color="auto"/>
        <w:bottom w:val="none" w:sz="0" w:space="0" w:color="auto"/>
        <w:right w:val="none" w:sz="0" w:space="0" w:color="auto"/>
      </w:divBdr>
    </w:div>
    <w:div w:id="1782526721">
      <w:bodyDiv w:val="1"/>
      <w:marLeft w:val="0"/>
      <w:marRight w:val="0"/>
      <w:marTop w:val="0"/>
      <w:marBottom w:val="0"/>
      <w:divBdr>
        <w:top w:val="none" w:sz="0" w:space="0" w:color="auto"/>
        <w:left w:val="none" w:sz="0" w:space="0" w:color="auto"/>
        <w:bottom w:val="none" w:sz="0" w:space="0" w:color="auto"/>
        <w:right w:val="none" w:sz="0" w:space="0" w:color="auto"/>
      </w:divBdr>
    </w:div>
    <w:div w:id="1786577098">
      <w:bodyDiv w:val="1"/>
      <w:marLeft w:val="0"/>
      <w:marRight w:val="0"/>
      <w:marTop w:val="0"/>
      <w:marBottom w:val="0"/>
      <w:divBdr>
        <w:top w:val="none" w:sz="0" w:space="0" w:color="auto"/>
        <w:left w:val="none" w:sz="0" w:space="0" w:color="auto"/>
        <w:bottom w:val="none" w:sz="0" w:space="0" w:color="auto"/>
        <w:right w:val="none" w:sz="0" w:space="0" w:color="auto"/>
      </w:divBdr>
    </w:div>
    <w:div w:id="1792163561">
      <w:bodyDiv w:val="1"/>
      <w:marLeft w:val="0"/>
      <w:marRight w:val="0"/>
      <w:marTop w:val="0"/>
      <w:marBottom w:val="0"/>
      <w:divBdr>
        <w:top w:val="none" w:sz="0" w:space="0" w:color="auto"/>
        <w:left w:val="none" w:sz="0" w:space="0" w:color="auto"/>
        <w:bottom w:val="none" w:sz="0" w:space="0" w:color="auto"/>
        <w:right w:val="none" w:sz="0" w:space="0" w:color="auto"/>
      </w:divBdr>
    </w:div>
    <w:div w:id="1794707414">
      <w:bodyDiv w:val="1"/>
      <w:marLeft w:val="0"/>
      <w:marRight w:val="0"/>
      <w:marTop w:val="0"/>
      <w:marBottom w:val="0"/>
      <w:divBdr>
        <w:top w:val="none" w:sz="0" w:space="0" w:color="auto"/>
        <w:left w:val="none" w:sz="0" w:space="0" w:color="auto"/>
        <w:bottom w:val="none" w:sz="0" w:space="0" w:color="auto"/>
        <w:right w:val="none" w:sz="0" w:space="0" w:color="auto"/>
      </w:divBdr>
    </w:div>
    <w:div w:id="1800222667">
      <w:bodyDiv w:val="1"/>
      <w:marLeft w:val="0"/>
      <w:marRight w:val="0"/>
      <w:marTop w:val="0"/>
      <w:marBottom w:val="0"/>
      <w:divBdr>
        <w:top w:val="none" w:sz="0" w:space="0" w:color="auto"/>
        <w:left w:val="none" w:sz="0" w:space="0" w:color="auto"/>
        <w:bottom w:val="none" w:sz="0" w:space="0" w:color="auto"/>
        <w:right w:val="none" w:sz="0" w:space="0" w:color="auto"/>
      </w:divBdr>
    </w:div>
    <w:div w:id="1858353070">
      <w:bodyDiv w:val="1"/>
      <w:marLeft w:val="0"/>
      <w:marRight w:val="0"/>
      <w:marTop w:val="0"/>
      <w:marBottom w:val="0"/>
      <w:divBdr>
        <w:top w:val="none" w:sz="0" w:space="0" w:color="auto"/>
        <w:left w:val="none" w:sz="0" w:space="0" w:color="auto"/>
        <w:bottom w:val="none" w:sz="0" w:space="0" w:color="auto"/>
        <w:right w:val="none" w:sz="0" w:space="0" w:color="auto"/>
      </w:divBdr>
    </w:div>
    <w:div w:id="1871841018">
      <w:bodyDiv w:val="1"/>
      <w:marLeft w:val="0"/>
      <w:marRight w:val="0"/>
      <w:marTop w:val="0"/>
      <w:marBottom w:val="0"/>
      <w:divBdr>
        <w:top w:val="none" w:sz="0" w:space="0" w:color="auto"/>
        <w:left w:val="none" w:sz="0" w:space="0" w:color="auto"/>
        <w:bottom w:val="none" w:sz="0" w:space="0" w:color="auto"/>
        <w:right w:val="none" w:sz="0" w:space="0" w:color="auto"/>
      </w:divBdr>
    </w:div>
    <w:div w:id="1940094750">
      <w:bodyDiv w:val="1"/>
      <w:marLeft w:val="0"/>
      <w:marRight w:val="0"/>
      <w:marTop w:val="0"/>
      <w:marBottom w:val="0"/>
      <w:divBdr>
        <w:top w:val="none" w:sz="0" w:space="0" w:color="auto"/>
        <w:left w:val="none" w:sz="0" w:space="0" w:color="auto"/>
        <w:bottom w:val="none" w:sz="0" w:space="0" w:color="auto"/>
        <w:right w:val="none" w:sz="0" w:space="0" w:color="auto"/>
      </w:divBdr>
      <w:divsChild>
        <w:div w:id="12344369">
          <w:marLeft w:val="0"/>
          <w:marRight w:val="0"/>
          <w:marTop w:val="0"/>
          <w:marBottom w:val="0"/>
          <w:divBdr>
            <w:top w:val="none" w:sz="0" w:space="0" w:color="auto"/>
            <w:left w:val="none" w:sz="0" w:space="0" w:color="auto"/>
            <w:bottom w:val="none" w:sz="0" w:space="0" w:color="auto"/>
            <w:right w:val="none" w:sz="0" w:space="0" w:color="auto"/>
          </w:divBdr>
        </w:div>
        <w:div w:id="558253041">
          <w:marLeft w:val="0"/>
          <w:marRight w:val="0"/>
          <w:marTop w:val="0"/>
          <w:marBottom w:val="0"/>
          <w:divBdr>
            <w:top w:val="none" w:sz="0" w:space="0" w:color="auto"/>
            <w:left w:val="none" w:sz="0" w:space="0" w:color="auto"/>
            <w:bottom w:val="none" w:sz="0" w:space="0" w:color="auto"/>
            <w:right w:val="none" w:sz="0" w:space="0" w:color="auto"/>
          </w:divBdr>
        </w:div>
        <w:div w:id="790900196">
          <w:marLeft w:val="0"/>
          <w:marRight w:val="0"/>
          <w:marTop w:val="0"/>
          <w:marBottom w:val="0"/>
          <w:divBdr>
            <w:top w:val="none" w:sz="0" w:space="0" w:color="auto"/>
            <w:left w:val="none" w:sz="0" w:space="0" w:color="auto"/>
            <w:bottom w:val="none" w:sz="0" w:space="0" w:color="auto"/>
            <w:right w:val="none" w:sz="0" w:space="0" w:color="auto"/>
          </w:divBdr>
        </w:div>
        <w:div w:id="1959411025">
          <w:marLeft w:val="0"/>
          <w:marRight w:val="0"/>
          <w:marTop w:val="0"/>
          <w:marBottom w:val="0"/>
          <w:divBdr>
            <w:top w:val="none" w:sz="0" w:space="0" w:color="auto"/>
            <w:left w:val="none" w:sz="0" w:space="0" w:color="auto"/>
            <w:bottom w:val="none" w:sz="0" w:space="0" w:color="auto"/>
            <w:right w:val="none" w:sz="0" w:space="0" w:color="auto"/>
          </w:divBdr>
        </w:div>
        <w:div w:id="2034187014">
          <w:marLeft w:val="0"/>
          <w:marRight w:val="0"/>
          <w:marTop w:val="0"/>
          <w:marBottom w:val="0"/>
          <w:divBdr>
            <w:top w:val="none" w:sz="0" w:space="0" w:color="auto"/>
            <w:left w:val="none" w:sz="0" w:space="0" w:color="auto"/>
            <w:bottom w:val="none" w:sz="0" w:space="0" w:color="auto"/>
            <w:right w:val="none" w:sz="0" w:space="0" w:color="auto"/>
          </w:divBdr>
        </w:div>
      </w:divsChild>
    </w:div>
    <w:div w:id="1960256145">
      <w:bodyDiv w:val="1"/>
      <w:marLeft w:val="0"/>
      <w:marRight w:val="0"/>
      <w:marTop w:val="0"/>
      <w:marBottom w:val="0"/>
      <w:divBdr>
        <w:top w:val="none" w:sz="0" w:space="0" w:color="auto"/>
        <w:left w:val="none" w:sz="0" w:space="0" w:color="auto"/>
        <w:bottom w:val="none" w:sz="0" w:space="0" w:color="auto"/>
        <w:right w:val="none" w:sz="0" w:space="0" w:color="auto"/>
      </w:divBdr>
    </w:div>
    <w:div w:id="1977907056">
      <w:bodyDiv w:val="1"/>
      <w:marLeft w:val="0"/>
      <w:marRight w:val="0"/>
      <w:marTop w:val="0"/>
      <w:marBottom w:val="0"/>
      <w:divBdr>
        <w:top w:val="none" w:sz="0" w:space="0" w:color="auto"/>
        <w:left w:val="none" w:sz="0" w:space="0" w:color="auto"/>
        <w:bottom w:val="none" w:sz="0" w:space="0" w:color="auto"/>
        <w:right w:val="none" w:sz="0" w:space="0" w:color="auto"/>
      </w:divBdr>
    </w:div>
    <w:div w:id="2007593421">
      <w:bodyDiv w:val="1"/>
      <w:marLeft w:val="0"/>
      <w:marRight w:val="0"/>
      <w:marTop w:val="0"/>
      <w:marBottom w:val="0"/>
      <w:divBdr>
        <w:top w:val="none" w:sz="0" w:space="0" w:color="auto"/>
        <w:left w:val="none" w:sz="0" w:space="0" w:color="auto"/>
        <w:bottom w:val="none" w:sz="0" w:space="0" w:color="auto"/>
        <w:right w:val="none" w:sz="0" w:space="0" w:color="auto"/>
      </w:divBdr>
    </w:div>
    <w:div w:id="2073576405">
      <w:bodyDiv w:val="1"/>
      <w:marLeft w:val="0"/>
      <w:marRight w:val="0"/>
      <w:marTop w:val="0"/>
      <w:marBottom w:val="0"/>
      <w:divBdr>
        <w:top w:val="none" w:sz="0" w:space="0" w:color="auto"/>
        <w:left w:val="none" w:sz="0" w:space="0" w:color="auto"/>
        <w:bottom w:val="none" w:sz="0" w:space="0" w:color="auto"/>
        <w:right w:val="none" w:sz="0" w:space="0" w:color="auto"/>
      </w:divBdr>
    </w:div>
    <w:div w:id="2114279664">
      <w:bodyDiv w:val="1"/>
      <w:marLeft w:val="0"/>
      <w:marRight w:val="0"/>
      <w:marTop w:val="0"/>
      <w:marBottom w:val="0"/>
      <w:divBdr>
        <w:top w:val="none" w:sz="0" w:space="0" w:color="auto"/>
        <w:left w:val="none" w:sz="0" w:space="0" w:color="auto"/>
        <w:bottom w:val="none" w:sz="0" w:space="0" w:color="auto"/>
        <w:right w:val="none" w:sz="0" w:space="0" w:color="auto"/>
      </w:divBdr>
    </w:div>
    <w:div w:id="214554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DP8080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8080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/sftpecos/Dossiers_parlementaires/8080/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6BA9773-EEAA-4F5E-A800-515CA87E1AB1}">
  <ds:schemaRefs>
    <ds:schemaRef ds:uri="http://schemas.openxmlformats.org/officeDocument/2006/bibliography"/>
  </ds:schemaRefs>
</ds:datastoreItem>
</file>

<file path=customXml/itemProps2.xml><?xml version="1.0" encoding="utf-8"?>
<ds:datastoreItem xmlns:ds="http://schemas.openxmlformats.org/officeDocument/2006/customXml" ds:itemID="{6CB8A4E0-2E23-4BDF-B846-69B94D3CA10F}"/>
</file>

<file path=customXml/itemProps3.xml><?xml version="1.0" encoding="utf-8"?>
<ds:datastoreItem xmlns:ds="http://schemas.openxmlformats.org/officeDocument/2006/customXml" ds:itemID="{7619CFF7-8A76-413C-8251-003C069B711D}"/>
</file>

<file path=customXml/itemProps4.xml><?xml version="1.0" encoding="utf-8"?>
<ds:datastoreItem xmlns:ds="http://schemas.openxmlformats.org/officeDocument/2006/customXml" ds:itemID="{47DD0803-9FB2-4215-89FB-B3558001513E}"/>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5029</Characters>
  <Application>Microsoft Office Word</Application>
  <DocSecurity>4</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Chapitre A - Arrêté du budget</vt:lpstr>
      <vt:lpstr>Chapitre A - Arrêté du budget</vt:lpstr>
    </vt:vector>
  </TitlesOfParts>
  <Company>**************************</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ifincbs</dc:creator>
  <cp:keywords/>
  <cp:lastModifiedBy>SYSTEM</cp:lastModifiedBy>
  <cp:revision>2</cp:revision>
  <cp:lastPrinted>2019-11-27T14:50:00Z</cp:lastPrinted>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0x0101009AD48296FC59154C86E57830F1108F5800205CDB3668D96E44868C86FFB81C2782</vt:lpwstr>
  </property>
</Properties>
</file>